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A605F">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1026" o:spt="202" type="#_x0000_t202" style="position:absolute;left:0pt;margin-left:45.7pt;margin-top:-3.3pt;height:46.8pt;width:294.8pt;z-index:251659264;mso-width-relative:margin;mso-height-relative:margin;"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path/>
            <v:fill focussize="0,0"/>
            <v:stroke color="#FFFFFF" joinstyle="miter"/>
            <v:imagedata o:title=""/>
            <o:lock v:ext="edit"/>
            <v:textbox>
              <w:txbxContent>
                <w:p w14:paraId="6BBC7B2D">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14:paraId="05D45D6A">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b/>
          <w:kern w:val="0"/>
          <w:sz w:val="28"/>
          <w:szCs w:val="28"/>
        </w:rPr>
        <w:drawing>
          <wp:inline distT="0" distB="0" distL="0" distR="0">
            <wp:extent cx="552450" cy="476250"/>
            <wp:effectExtent l="57150" t="19050" r="190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338BA1EE">
      <w:pPr>
        <w:ind w:left="682" w:leftChars="-203" w:hanging="1108" w:hangingChars="154"/>
        <w:rPr>
          <w:sz w:val="72"/>
          <w:szCs w:val="72"/>
        </w:rPr>
      </w:pPr>
    </w:p>
    <w:p w14:paraId="21FA7457">
      <w:pPr>
        <w:adjustRightInd w:val="0"/>
        <w:snapToGrid w:val="0"/>
        <w:spacing w:line="300" w:lineRule="auto"/>
        <w:jc w:val="left"/>
        <w:rPr>
          <w:b/>
          <w:bCs/>
          <w:snapToGrid w:val="0"/>
          <w:kern w:val="0"/>
          <w:sz w:val="28"/>
          <w:szCs w:val="28"/>
        </w:rPr>
      </w:pPr>
    </w:p>
    <w:p w14:paraId="58B100BD">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158AAC9C">
      <w:pPr>
        <w:adjustRightInd w:val="0"/>
        <w:snapToGrid w:val="0"/>
        <w:spacing w:line="300" w:lineRule="auto"/>
        <w:jc w:val="left"/>
        <w:rPr>
          <w:b/>
          <w:bCs/>
          <w:snapToGrid w:val="0"/>
          <w:kern w:val="0"/>
          <w:sz w:val="28"/>
          <w:szCs w:val="28"/>
        </w:rPr>
      </w:pPr>
    </w:p>
    <w:p w14:paraId="13439BC7">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2025年网络安全保障服务项目</w:t>
      </w:r>
    </w:p>
    <w:p w14:paraId="7F9EF994">
      <w:pPr>
        <w:adjustRightInd w:val="0"/>
        <w:snapToGrid w:val="0"/>
        <w:spacing w:line="300" w:lineRule="auto"/>
        <w:jc w:val="center"/>
        <w:rPr>
          <w:rFonts w:asciiTheme="minorEastAsia" w:hAnsiTheme="minorEastAsia" w:eastAsiaTheme="minorEastAsia"/>
          <w:b/>
          <w:snapToGrid w:val="0"/>
          <w:kern w:val="0"/>
          <w:sz w:val="44"/>
          <w:szCs w:val="44"/>
        </w:rPr>
      </w:pPr>
    </w:p>
    <w:p w14:paraId="1DE5DEBA">
      <w:pPr>
        <w:adjustRightInd w:val="0"/>
        <w:snapToGrid w:val="0"/>
        <w:spacing w:line="300" w:lineRule="auto"/>
        <w:jc w:val="center"/>
        <w:rPr>
          <w:rFonts w:asciiTheme="minorEastAsia" w:hAnsiTheme="minorEastAsia" w:eastAsiaTheme="minorEastAsia"/>
          <w:b/>
          <w:snapToGrid w:val="0"/>
          <w:kern w:val="0"/>
          <w:sz w:val="44"/>
          <w:szCs w:val="44"/>
        </w:rPr>
      </w:pPr>
    </w:p>
    <w:p w14:paraId="1E9989D0">
      <w:pPr>
        <w:adjustRightInd w:val="0"/>
        <w:snapToGrid w:val="0"/>
        <w:spacing w:line="300" w:lineRule="auto"/>
        <w:jc w:val="center"/>
        <w:rPr>
          <w:rFonts w:asciiTheme="minorEastAsia" w:hAnsiTheme="minorEastAsia" w:eastAsiaTheme="minorEastAsia"/>
          <w:b/>
          <w:snapToGrid w:val="0"/>
          <w:kern w:val="0"/>
          <w:sz w:val="44"/>
          <w:szCs w:val="44"/>
        </w:rPr>
      </w:pPr>
    </w:p>
    <w:p w14:paraId="471D0CF8">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9E12D2F">
      <w:pPr>
        <w:adjustRightInd w:val="0"/>
        <w:snapToGrid w:val="0"/>
        <w:spacing w:line="300" w:lineRule="auto"/>
        <w:jc w:val="center"/>
        <w:rPr>
          <w:rFonts w:asciiTheme="minorEastAsia" w:hAnsiTheme="minorEastAsia" w:eastAsiaTheme="minorEastAsia"/>
          <w:b/>
          <w:snapToGrid w:val="0"/>
          <w:kern w:val="0"/>
          <w:sz w:val="32"/>
        </w:rPr>
      </w:pPr>
    </w:p>
    <w:p w14:paraId="47ED21A3">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SZDL2025000019</w:t>
      </w:r>
    </w:p>
    <w:p w14:paraId="77DF31E0">
      <w:pPr>
        <w:adjustRightInd w:val="0"/>
        <w:snapToGrid w:val="0"/>
        <w:spacing w:line="300" w:lineRule="auto"/>
        <w:jc w:val="center"/>
        <w:rPr>
          <w:rFonts w:asciiTheme="minorEastAsia" w:hAnsiTheme="minorEastAsia" w:eastAsiaTheme="minorEastAsia"/>
          <w:b/>
          <w:snapToGrid w:val="0"/>
          <w:kern w:val="0"/>
          <w:sz w:val="18"/>
          <w:szCs w:val="18"/>
        </w:rPr>
      </w:pPr>
    </w:p>
    <w:p w14:paraId="65809DE7">
      <w:pPr>
        <w:adjustRightInd w:val="0"/>
        <w:snapToGrid w:val="0"/>
        <w:spacing w:line="300" w:lineRule="auto"/>
        <w:jc w:val="center"/>
        <w:rPr>
          <w:rFonts w:asciiTheme="minorEastAsia" w:hAnsiTheme="minorEastAsia" w:eastAsiaTheme="minorEastAsia"/>
          <w:b/>
          <w:snapToGrid w:val="0"/>
          <w:kern w:val="0"/>
          <w:sz w:val="44"/>
        </w:rPr>
      </w:pPr>
    </w:p>
    <w:p w14:paraId="76DF2933">
      <w:pPr>
        <w:adjustRightInd w:val="0"/>
        <w:snapToGrid w:val="0"/>
        <w:spacing w:line="300" w:lineRule="auto"/>
        <w:jc w:val="center"/>
        <w:rPr>
          <w:rFonts w:asciiTheme="minorEastAsia" w:hAnsiTheme="minorEastAsia" w:eastAsiaTheme="minorEastAsia"/>
          <w:b/>
          <w:snapToGrid w:val="0"/>
          <w:kern w:val="0"/>
          <w:sz w:val="44"/>
        </w:rPr>
      </w:pPr>
      <w:r>
        <w:rPr>
          <w:rFonts w:asciiTheme="minorEastAsia" w:hAnsiTheme="minorEastAsia" w:eastAsiaTheme="minorEastAsia"/>
          <w:b/>
          <w:snapToGrid w:val="0"/>
          <w:kern w:val="0"/>
          <w:sz w:val="44"/>
        </w:rPr>
        <w:t xml:space="preserve"> </w:t>
      </w:r>
    </w:p>
    <w:p w14:paraId="1F0F0607">
      <w:pPr>
        <w:pStyle w:val="24"/>
        <w:adjustRightInd w:val="0"/>
        <w:snapToGrid w:val="0"/>
        <w:spacing w:line="300" w:lineRule="auto"/>
        <w:jc w:val="center"/>
        <w:rPr>
          <w:rFonts w:asciiTheme="minorEastAsia" w:hAnsiTheme="minorEastAsia" w:eastAsiaTheme="minorEastAsia"/>
          <w:b/>
          <w:snapToGrid w:val="0"/>
          <w:sz w:val="30"/>
        </w:rPr>
      </w:pPr>
    </w:p>
    <w:p w14:paraId="1D9C4EDA">
      <w:pPr>
        <w:rPr>
          <w:rFonts w:asciiTheme="minorEastAsia" w:hAnsiTheme="minorEastAsia" w:eastAsiaTheme="minorEastAsia"/>
        </w:rPr>
      </w:pPr>
    </w:p>
    <w:p w14:paraId="1F9D48D5">
      <w:pPr>
        <w:rPr>
          <w:rFonts w:asciiTheme="minorEastAsia" w:hAnsiTheme="minorEastAsia" w:eastAsiaTheme="minorEastAsia"/>
        </w:rPr>
      </w:pPr>
    </w:p>
    <w:p w14:paraId="29103400">
      <w:pPr>
        <w:rPr>
          <w:rFonts w:asciiTheme="minorEastAsia" w:hAnsiTheme="minorEastAsia" w:eastAsiaTheme="minorEastAsia"/>
        </w:rPr>
      </w:pPr>
    </w:p>
    <w:p w14:paraId="2FAE83D3">
      <w:pPr>
        <w:pStyle w:val="24"/>
        <w:adjustRightInd w:val="0"/>
        <w:snapToGrid w:val="0"/>
        <w:spacing w:line="300" w:lineRule="auto"/>
        <w:jc w:val="center"/>
        <w:rPr>
          <w:rFonts w:asciiTheme="minorEastAsia" w:hAnsiTheme="minorEastAsia" w:eastAsiaTheme="minorEastAsia"/>
        </w:rPr>
      </w:pPr>
      <w:r>
        <w:rPr>
          <w:rFonts w:hint="eastAsia" w:asciiTheme="minorEastAsia" w:hAnsiTheme="minorEastAsia" w:eastAsiaTheme="minorEastAsia"/>
          <w:b/>
          <w:snapToGrid w:val="0"/>
          <w:sz w:val="30"/>
        </w:rPr>
        <w:t>二〇二</w:t>
      </w:r>
      <w:r>
        <w:rPr>
          <w:rFonts w:hint="eastAsia" w:asciiTheme="minorEastAsia" w:hAnsiTheme="minorEastAsia" w:eastAsiaTheme="minorEastAsia"/>
          <w:b/>
          <w:snapToGrid w:val="0"/>
          <w:sz w:val="30"/>
          <w:lang w:eastAsia="zh-CN"/>
        </w:rPr>
        <w:t>五</w:t>
      </w:r>
      <w:r>
        <w:rPr>
          <w:rFonts w:hint="eastAsia" w:asciiTheme="minorEastAsia" w:hAnsiTheme="minorEastAsia" w:eastAsiaTheme="minorEastAsia"/>
          <w:b/>
          <w:snapToGrid w:val="0"/>
          <w:sz w:val="30"/>
        </w:rPr>
        <w:t>年</w:t>
      </w:r>
      <w:r>
        <w:rPr>
          <w:rFonts w:hint="eastAsia" w:asciiTheme="minorEastAsia" w:hAnsiTheme="minorEastAsia" w:eastAsiaTheme="minorEastAsia"/>
          <w:b/>
          <w:snapToGrid w:val="0"/>
          <w:sz w:val="30"/>
          <w:lang w:val="en-US" w:eastAsia="zh-CN"/>
        </w:rPr>
        <w:t>一</w:t>
      </w:r>
      <w:r>
        <w:rPr>
          <w:rFonts w:hint="eastAsia" w:asciiTheme="minorEastAsia" w:hAnsiTheme="minorEastAsia" w:eastAsiaTheme="minorEastAsia"/>
          <w:b/>
          <w:snapToGrid w:val="0"/>
          <w:sz w:val="30"/>
        </w:rPr>
        <w:t>月</w:t>
      </w:r>
    </w:p>
    <w:p w14:paraId="57F7518D">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3CB1C01">
      <w:pPr>
        <w:spacing w:line="360" w:lineRule="auto"/>
        <w:ind w:firstLine="480" w:firstLineChars="200"/>
        <w:rPr>
          <w:rFonts w:ascii="仿宋" w:hAnsi="仿宋" w:eastAsia="仿宋"/>
          <w:sz w:val="24"/>
        </w:rPr>
      </w:pPr>
    </w:p>
    <w:p w14:paraId="5E15A38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一、《深圳经济特区政府采购条例》</w:t>
      </w:r>
    </w:p>
    <w:p w14:paraId="6A51DF24">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第五十七条</w:t>
      </w:r>
      <w:r>
        <w:rPr>
          <w:rFonts w:asciiTheme="minorEastAsia" w:hAnsiTheme="minorEastAsia" w:eastAsiaTheme="minorEastAsia"/>
          <w:szCs w:val="21"/>
        </w:rPr>
        <w:t xml:space="preserve"> </w:t>
      </w:r>
      <w:r>
        <w:rPr>
          <w:rFonts w:hint="eastAsia" w:asciiTheme="minorEastAsia" w:hAnsiTheme="minorEastAsia" w:eastAsiaTheme="minor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0BAF0F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（一）在采购活动中应当回避而未回避的；</w:t>
      </w:r>
    </w:p>
    <w:p w14:paraId="294A216B">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（二）未按本条例规定签订、履行采购合同，造成严重后果的；</w:t>
      </w:r>
    </w:p>
    <w:p w14:paraId="64D788C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（三）隐瞒真实情况，提供虚假资料的；</w:t>
      </w:r>
    </w:p>
    <w:p w14:paraId="694610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（四）以非法手段排斥其他供应商参与竞争的；</w:t>
      </w:r>
    </w:p>
    <w:p w14:paraId="2118D256">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（五）与其他采购参加人串通投标的；</w:t>
      </w:r>
    </w:p>
    <w:p w14:paraId="5556CD5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（六）恶意投诉的；</w:t>
      </w:r>
    </w:p>
    <w:p w14:paraId="35EA48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（七）向采购项目相关人行贿或者提供其他不当利益的；</w:t>
      </w:r>
    </w:p>
    <w:p w14:paraId="5189471D">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（八）阻碍、抗拒主管部门监督检查的；</w:t>
      </w:r>
    </w:p>
    <w:p w14:paraId="3BBABDE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（九）其他违反本条例规定的行为。</w:t>
      </w:r>
    </w:p>
    <w:p w14:paraId="351E4A27">
      <w:pPr>
        <w:widowControl/>
        <w:spacing w:after="120"/>
        <w:jc w:val="left"/>
        <w:rPr>
          <w:rFonts w:ascii="Times New Roman" w:hAnsi="Times New Roman" w:eastAsiaTheme="minorEastAsia"/>
          <w:kern w:val="0"/>
          <w:sz w:val="24"/>
          <w:szCs w:val="24"/>
        </w:rPr>
      </w:pPr>
    </w:p>
    <w:p w14:paraId="5A7696B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二、《深圳经济特区政府采购条例实施细则》</w:t>
      </w:r>
    </w:p>
    <w:p w14:paraId="66B7BB0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第七十五条 供应商有下列情形的，属于采购条例所称的串通投标行为，按照采购条例第五十七条有关规定处理：</w:t>
      </w:r>
    </w:p>
    <w:p w14:paraId="2A365839">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（一）投标供应商之间相互约定给予未中标的供应商利益补偿；</w:t>
      </w:r>
    </w:p>
    <w:p w14:paraId="738E96C6">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 xml:space="preserve">（二）不同投标供应商的法定代表人、主要经营负责人、项目投标授权代表人、项目负责人、主要技术人员为同一人、属同一单位或者在同一单位缴纳社会保险；          </w:t>
      </w:r>
    </w:p>
    <w:p w14:paraId="014A5286">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（三）不同投标供应商的投标文件由同一单位或者同一人编制，或者由同一人分阶段参与编制的；</w:t>
      </w:r>
    </w:p>
    <w:p w14:paraId="418205C5">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（四）不同投标供应商的投标文件或部分投标文件相互混装；</w:t>
      </w:r>
    </w:p>
    <w:p w14:paraId="72349AE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（五）不同投标供应商的投标文件内容存在非正常一致；</w:t>
      </w:r>
    </w:p>
    <w:p w14:paraId="56AFE704">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（六）由同一单位工作人员为两家以上（含两家）供应商进行同一项投标活动的；</w:t>
      </w:r>
    </w:p>
    <w:p w14:paraId="124A17EA">
      <w:pPr>
        <w:spacing w:line="440" w:lineRule="exact"/>
        <w:ind w:firstLine="422" w:firstLineChars="20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（七）主管部门依照法律、法规认定的其他情形。</w:t>
      </w:r>
    </w:p>
    <w:p w14:paraId="2C3604F1">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第七十七条 供应商有下列情形之一的，属于隐瞒真实情况，提供虚假资料，按照采购条例第五十七的有关规定处理：</w:t>
      </w:r>
    </w:p>
    <w:p w14:paraId="20CBF518">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（一）通过转让或者租借等方式从其他单位获取资格或者资质证书投标的；</w:t>
      </w:r>
    </w:p>
    <w:p w14:paraId="7E01E1DA">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（二）由其他单位或者其他单位负责人在投标供应商编制的投标文件上加盖印章或者签字的；</w:t>
      </w:r>
    </w:p>
    <w:p w14:paraId="44C057C3">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（三）项目负责人或者主要技术人员不是本单位人员的；</w:t>
      </w:r>
    </w:p>
    <w:p w14:paraId="0939EB52">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（四）投标保证金不是从投标供应商基本账户转出的；</w:t>
      </w:r>
    </w:p>
    <w:p w14:paraId="2E16A370">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（五）其他隐瞒真实情况、提供虚假资料的行为。</w:t>
      </w:r>
    </w:p>
    <w:p w14:paraId="4170EBA2">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投标供应商不能提供项目负责人或者主要技术人员的劳动合同、社会保险等劳动关系证明材料的，视为存在前款第（三）项规定的情形。</w:t>
      </w:r>
    </w:p>
    <w:p w14:paraId="624CB054">
      <w:pPr>
        <w:widowControl/>
        <w:spacing w:after="120"/>
        <w:jc w:val="left"/>
        <w:rPr>
          <w:rFonts w:ascii="Times New Roman" w:hAnsi="Times New Roman" w:eastAsiaTheme="minorEastAsia"/>
          <w:kern w:val="0"/>
          <w:sz w:val="24"/>
          <w:szCs w:val="24"/>
        </w:rPr>
      </w:pPr>
    </w:p>
    <w:p w14:paraId="68AACED7">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三、《中华人民共和国政府采购法实施条例》</w:t>
      </w:r>
    </w:p>
    <w:p w14:paraId="34CAF885">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第十八条 单位负责人为同一人或者存在直接控股、管理关系的不同供应商，不得参加同一合同项下的政府采购活动。</w:t>
      </w:r>
    </w:p>
    <w:p w14:paraId="474F3625">
      <w:pPr>
        <w:spacing w:line="440" w:lineRule="exact"/>
        <w:ind w:firstLine="371" w:firstLineChars="177"/>
        <w:rPr>
          <w:rFonts w:asciiTheme="minorEastAsia" w:hAnsiTheme="minorEastAsia" w:eastAsiaTheme="minorEastAsia"/>
          <w:szCs w:val="21"/>
        </w:rPr>
      </w:pPr>
      <w:r>
        <w:rPr>
          <w:rFonts w:hint="eastAsia" w:asciiTheme="minorEastAsia" w:hAnsiTheme="minorEastAsia" w:eastAsiaTheme="minorEastAsia"/>
          <w:szCs w:val="21"/>
        </w:rPr>
        <w:t>除单一来源采购项目外，为采购项目提供整体设计、规范编制或者项目管理、监理、检测等服务的供应商，不得再参加该采购项目的其他采购活动。</w:t>
      </w:r>
    </w:p>
    <w:p w14:paraId="1BAAD166">
      <w:pPr>
        <w:spacing w:line="440" w:lineRule="exact"/>
        <w:ind w:firstLine="373" w:firstLineChars="177"/>
        <w:rPr>
          <w:rFonts w:asciiTheme="minorEastAsia" w:hAnsiTheme="minorEastAsia" w:eastAsiaTheme="minorEastAsia"/>
          <w:b/>
          <w:color w:val="FF0000"/>
          <w:szCs w:val="21"/>
        </w:rPr>
      </w:pPr>
    </w:p>
    <w:p w14:paraId="12D48F17">
      <w:pPr>
        <w:spacing w:line="440" w:lineRule="exact"/>
        <w:ind w:firstLine="373" w:firstLineChars="177"/>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投标供应商涉嫌存在串通投标等违法行为的，将书面报告财政主管部门依法处理。</w:t>
      </w:r>
    </w:p>
    <w:p w14:paraId="3299E44E">
      <w:pPr>
        <w:spacing w:line="360" w:lineRule="auto"/>
        <w:ind w:firstLine="480" w:firstLineChars="200"/>
        <w:rPr>
          <w:sz w:val="40"/>
          <w:szCs w:val="40"/>
        </w:rPr>
      </w:pPr>
      <w:r>
        <w:rPr>
          <w:rFonts w:hint="eastAsia" w:ascii="仿宋" w:hAnsi="仿宋" w:eastAsia="仿宋"/>
          <w:sz w:val="24"/>
        </w:rPr>
        <w:cr/>
      </w:r>
    </w:p>
    <w:p w14:paraId="1B1B4111">
      <w:pPr>
        <w:widowControl/>
        <w:jc w:val="left"/>
        <w:rPr>
          <w:rFonts w:ascii="宋体" w:hAnsi="宋体" w:cs="宋体"/>
          <w:kern w:val="0"/>
          <w:sz w:val="40"/>
          <w:szCs w:val="40"/>
        </w:rPr>
      </w:pPr>
      <w:r>
        <w:rPr>
          <w:sz w:val="40"/>
          <w:szCs w:val="40"/>
        </w:rPr>
        <w:br w:type="page"/>
      </w:r>
    </w:p>
    <w:p w14:paraId="2D4D52EF">
      <w:pPr>
        <w:pStyle w:val="37"/>
        <w:spacing w:before="454" w:beforeAutospacing="0" w:after="454" w:afterAutospacing="0"/>
        <w:ind w:left="454" w:right="454"/>
        <w:jc w:val="center"/>
        <w:outlineLvl w:val="0"/>
        <w:rPr>
          <w:rFonts w:hint="eastAsia" w:eastAsia="宋体"/>
          <w:sz w:val="40"/>
          <w:szCs w:val="40"/>
          <w:lang w:eastAsia="zh-CN"/>
        </w:rPr>
      </w:pPr>
      <w:r>
        <w:rPr>
          <w:rFonts w:hint="eastAsia"/>
          <w:sz w:val="40"/>
          <w:szCs w:val="40"/>
          <w:lang w:eastAsia="zh-CN"/>
        </w:rPr>
        <w:t>2025年网络安全保障服务项目</w:t>
      </w:r>
    </w:p>
    <w:p w14:paraId="58833B09">
      <w:pPr>
        <w:pStyle w:val="37"/>
        <w:jc w:val="center"/>
        <w:outlineLvl w:val="1"/>
        <w:rPr>
          <w:rFonts w:ascii="黑体" w:hAnsi="黑体" w:eastAsia="黑体"/>
          <w:sz w:val="40"/>
          <w:szCs w:val="40"/>
        </w:rPr>
      </w:pPr>
      <w:r>
        <w:rPr>
          <w:rFonts w:hint="eastAsia" w:ascii="黑体" w:hAnsi="黑体" w:eastAsia="黑体"/>
          <w:sz w:val="40"/>
          <w:szCs w:val="40"/>
        </w:rPr>
        <w:t>招标文件信息</w:t>
      </w:r>
    </w:p>
    <w:tbl>
      <w:tblPr>
        <w:tblStyle w:val="42"/>
        <w:tblW w:w="7938" w:type="dxa"/>
        <w:jc w:val="center"/>
        <w:tblCellSpacing w:w="0" w:type="dxa"/>
        <w:tblLayout w:type="autofit"/>
        <w:tblCellMar>
          <w:top w:w="45" w:type="dxa"/>
          <w:left w:w="45" w:type="dxa"/>
          <w:bottom w:w="45" w:type="dxa"/>
          <w:right w:w="45" w:type="dxa"/>
        </w:tblCellMar>
      </w:tblPr>
      <w:tblGrid>
        <w:gridCol w:w="2722"/>
        <w:gridCol w:w="5216"/>
      </w:tblGrid>
      <w:tr w14:paraId="29634068">
        <w:tblPrEx>
          <w:tblCellMar>
            <w:top w:w="45" w:type="dxa"/>
            <w:left w:w="45" w:type="dxa"/>
            <w:bottom w:w="45" w:type="dxa"/>
            <w:right w:w="45" w:type="dxa"/>
          </w:tblCellMar>
        </w:tblPrEx>
        <w:trPr>
          <w:trHeight w:val="737" w:hRule="atLeast"/>
          <w:tblCellSpacing w:w="0" w:type="dxa"/>
          <w:jc w:val="center"/>
        </w:trPr>
        <w:tc>
          <w:tcPr>
            <w:tcW w:w="2722" w:type="dxa"/>
            <w:vAlign w:val="center"/>
          </w:tcPr>
          <w:p w14:paraId="05983414">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项目编号：</w:t>
            </w:r>
          </w:p>
        </w:tc>
        <w:tc>
          <w:tcPr>
            <w:tcW w:w="0" w:type="auto"/>
            <w:vAlign w:val="center"/>
          </w:tcPr>
          <w:p w14:paraId="0C92543A">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SZDL2025000019</w:t>
            </w:r>
          </w:p>
        </w:tc>
      </w:tr>
      <w:tr w14:paraId="6830196E">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C9DE1D1">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项目名称：</w:t>
            </w:r>
          </w:p>
        </w:tc>
        <w:tc>
          <w:tcPr>
            <w:tcW w:w="0" w:type="auto"/>
            <w:vAlign w:val="center"/>
          </w:tcPr>
          <w:p w14:paraId="631F910E">
            <w:pPr>
              <w:rPr>
                <w:rFonts w:hint="eastAsia" w:cs="宋体" w:asciiTheme="minorEastAsia" w:hAnsiTheme="minorEastAsia" w:eastAsiaTheme="minorEastAsia"/>
                <w:sz w:val="30"/>
                <w:szCs w:val="30"/>
                <w:lang w:eastAsia="zh-CN"/>
              </w:rPr>
            </w:pPr>
            <w:r>
              <w:rPr>
                <w:rFonts w:hint="eastAsia" w:asciiTheme="minorEastAsia" w:hAnsiTheme="minorEastAsia" w:eastAsiaTheme="minorEastAsia"/>
                <w:sz w:val="30"/>
                <w:szCs w:val="30"/>
                <w:lang w:eastAsia="zh-CN"/>
              </w:rPr>
              <w:t>2025年网络安全保障服务项目</w:t>
            </w:r>
          </w:p>
        </w:tc>
      </w:tr>
      <w:tr w14:paraId="079321F1">
        <w:tblPrEx>
          <w:tblCellMar>
            <w:top w:w="45" w:type="dxa"/>
            <w:left w:w="45" w:type="dxa"/>
            <w:bottom w:w="45" w:type="dxa"/>
            <w:right w:w="45" w:type="dxa"/>
          </w:tblCellMar>
        </w:tblPrEx>
        <w:trPr>
          <w:trHeight w:val="737" w:hRule="atLeast"/>
          <w:tblCellSpacing w:w="0" w:type="dxa"/>
          <w:jc w:val="center"/>
        </w:trPr>
        <w:tc>
          <w:tcPr>
            <w:tcW w:w="0" w:type="auto"/>
            <w:vAlign w:val="center"/>
          </w:tcPr>
          <w:p w14:paraId="66E0F421">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包 号：</w:t>
            </w:r>
          </w:p>
        </w:tc>
        <w:tc>
          <w:tcPr>
            <w:tcW w:w="0" w:type="auto"/>
            <w:vAlign w:val="center"/>
          </w:tcPr>
          <w:p w14:paraId="17D205EF">
            <w:pPr>
              <w:rPr>
                <w:rFonts w:cs="宋体" w:asciiTheme="minorEastAsia" w:hAnsiTheme="minorEastAsia" w:eastAsiaTheme="minorEastAsia"/>
                <w:sz w:val="30"/>
                <w:szCs w:val="30"/>
              </w:rPr>
            </w:pPr>
            <w:r>
              <w:rPr>
                <w:rFonts w:asciiTheme="minorEastAsia" w:hAnsiTheme="minorEastAsia" w:eastAsiaTheme="minorEastAsia"/>
                <w:sz w:val="30"/>
                <w:szCs w:val="30"/>
              </w:rPr>
              <w:t>A</w:t>
            </w:r>
          </w:p>
        </w:tc>
      </w:tr>
      <w:tr w14:paraId="52F0B10F">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FA078EE">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项目类型：</w:t>
            </w:r>
          </w:p>
        </w:tc>
        <w:tc>
          <w:tcPr>
            <w:tcW w:w="0" w:type="auto"/>
            <w:vAlign w:val="center"/>
          </w:tcPr>
          <w:p w14:paraId="0DE22449">
            <w:pPr>
              <w:rPr>
                <w:rFonts w:cs="宋体" w:asciiTheme="minorEastAsia" w:hAnsiTheme="minorEastAsia" w:eastAsiaTheme="minorEastAsia"/>
                <w:sz w:val="30"/>
                <w:szCs w:val="30"/>
              </w:rPr>
            </w:pPr>
            <w:r>
              <w:rPr>
                <w:rFonts w:asciiTheme="minorEastAsia" w:hAnsiTheme="minorEastAsia" w:eastAsiaTheme="minorEastAsia"/>
                <w:sz w:val="30"/>
                <w:szCs w:val="30"/>
              </w:rPr>
              <w:t>服务类</w:t>
            </w:r>
          </w:p>
        </w:tc>
      </w:tr>
      <w:tr w14:paraId="6938D41F">
        <w:tblPrEx>
          <w:tblCellMar>
            <w:top w:w="45" w:type="dxa"/>
            <w:left w:w="45" w:type="dxa"/>
            <w:bottom w:w="45" w:type="dxa"/>
            <w:right w:w="45" w:type="dxa"/>
          </w:tblCellMar>
        </w:tblPrEx>
        <w:trPr>
          <w:trHeight w:val="737" w:hRule="atLeast"/>
          <w:tblCellSpacing w:w="0" w:type="dxa"/>
          <w:jc w:val="center"/>
        </w:trPr>
        <w:tc>
          <w:tcPr>
            <w:tcW w:w="0" w:type="auto"/>
            <w:vAlign w:val="center"/>
          </w:tcPr>
          <w:p w14:paraId="2FDA4DE6">
            <w:pPr>
              <w:jc w:val="right"/>
              <w:rPr>
                <w:rFonts w:cs="宋体" w:asciiTheme="minorEastAsia" w:hAnsiTheme="minorEastAsia" w:eastAsiaTheme="minorEastAsia"/>
                <w:sz w:val="30"/>
                <w:szCs w:val="30"/>
              </w:rPr>
            </w:pPr>
            <w:r>
              <w:rPr>
                <w:rFonts w:asciiTheme="minorEastAsia" w:hAnsiTheme="minorEastAsia" w:eastAsiaTheme="minorEastAsia"/>
                <w:sz w:val="30"/>
                <w:szCs w:val="30"/>
              </w:rPr>
              <w:t>采购方式：</w:t>
            </w:r>
          </w:p>
        </w:tc>
        <w:tc>
          <w:tcPr>
            <w:tcW w:w="0" w:type="auto"/>
            <w:vAlign w:val="center"/>
          </w:tcPr>
          <w:p w14:paraId="207E6E45">
            <w:pPr>
              <w:rPr>
                <w:rFonts w:cs="宋体" w:asciiTheme="minorEastAsia" w:hAnsiTheme="minorEastAsia" w:eastAsiaTheme="minorEastAsia"/>
                <w:sz w:val="30"/>
                <w:szCs w:val="30"/>
              </w:rPr>
            </w:pPr>
            <w:r>
              <w:rPr>
                <w:rFonts w:asciiTheme="minorEastAsia" w:hAnsiTheme="minorEastAsia" w:eastAsiaTheme="minorEastAsia"/>
                <w:sz w:val="30"/>
                <w:szCs w:val="30"/>
              </w:rPr>
              <w:t>公开招标</w:t>
            </w:r>
          </w:p>
        </w:tc>
      </w:tr>
      <w:tr w14:paraId="117EEEFD">
        <w:tblPrEx>
          <w:tblCellMar>
            <w:top w:w="45" w:type="dxa"/>
            <w:left w:w="45" w:type="dxa"/>
            <w:bottom w:w="45" w:type="dxa"/>
            <w:right w:w="45" w:type="dxa"/>
          </w:tblCellMar>
        </w:tblPrEx>
        <w:trPr>
          <w:trHeight w:val="737" w:hRule="atLeast"/>
          <w:tblCellSpacing w:w="0" w:type="dxa"/>
          <w:jc w:val="center"/>
        </w:trPr>
        <w:tc>
          <w:tcPr>
            <w:tcW w:w="0" w:type="auto"/>
            <w:vAlign w:val="center"/>
          </w:tcPr>
          <w:p w14:paraId="7F1B22BC">
            <w:pPr>
              <w:jc w:val="right"/>
              <w:rPr>
                <w:rFonts w:ascii="宋体" w:hAnsi="宋体" w:cs="宋体"/>
                <w:sz w:val="30"/>
                <w:szCs w:val="30"/>
              </w:rPr>
            </w:pPr>
            <w:r>
              <w:rPr>
                <w:sz w:val="30"/>
                <w:szCs w:val="30"/>
              </w:rPr>
              <w:t>货币类型：</w:t>
            </w:r>
          </w:p>
        </w:tc>
        <w:tc>
          <w:tcPr>
            <w:tcW w:w="0" w:type="auto"/>
            <w:vAlign w:val="center"/>
          </w:tcPr>
          <w:p w14:paraId="3227442A">
            <w:pPr>
              <w:rPr>
                <w:rFonts w:ascii="宋体" w:hAnsi="宋体" w:cs="宋体"/>
                <w:sz w:val="30"/>
                <w:szCs w:val="30"/>
              </w:rPr>
            </w:pPr>
            <w:r>
              <w:rPr>
                <w:sz w:val="30"/>
                <w:szCs w:val="30"/>
              </w:rPr>
              <w:t>人民币</w:t>
            </w:r>
          </w:p>
        </w:tc>
      </w:tr>
      <w:tr w14:paraId="30E1B99E">
        <w:tblPrEx>
          <w:tblCellMar>
            <w:top w:w="45" w:type="dxa"/>
            <w:left w:w="45" w:type="dxa"/>
            <w:bottom w:w="45" w:type="dxa"/>
            <w:right w:w="45" w:type="dxa"/>
          </w:tblCellMar>
        </w:tblPrEx>
        <w:trPr>
          <w:trHeight w:val="737" w:hRule="atLeast"/>
          <w:tblCellSpacing w:w="0" w:type="dxa"/>
          <w:jc w:val="center"/>
        </w:trPr>
        <w:tc>
          <w:tcPr>
            <w:tcW w:w="0" w:type="auto"/>
            <w:vAlign w:val="center"/>
          </w:tcPr>
          <w:p w14:paraId="3D612645">
            <w:pPr>
              <w:jc w:val="right"/>
              <w:rPr>
                <w:rFonts w:ascii="宋体" w:hAnsi="宋体" w:cs="宋体"/>
                <w:sz w:val="30"/>
                <w:szCs w:val="30"/>
              </w:rPr>
            </w:pPr>
            <w:r>
              <w:rPr>
                <w:sz w:val="30"/>
                <w:szCs w:val="30"/>
              </w:rPr>
              <w:t>评标方法：</w:t>
            </w:r>
          </w:p>
        </w:tc>
        <w:tc>
          <w:tcPr>
            <w:tcW w:w="0" w:type="auto"/>
            <w:vAlign w:val="center"/>
          </w:tcPr>
          <w:p w14:paraId="61392236">
            <w:pPr>
              <w:rPr>
                <w:rFonts w:ascii="宋体" w:hAnsi="宋体" w:cs="宋体"/>
                <w:sz w:val="30"/>
                <w:szCs w:val="30"/>
              </w:rPr>
            </w:pPr>
            <w:r>
              <w:rPr>
                <w:sz w:val="30"/>
                <w:szCs w:val="30"/>
              </w:rPr>
              <w:t>综合评分法（新价格分算法）</w:t>
            </w:r>
          </w:p>
        </w:tc>
      </w:tr>
    </w:tbl>
    <w:p w14:paraId="537582D5">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5CD42C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5776932">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389880B">
            <w:pPr>
              <w:jc w:val="center"/>
              <w:rPr>
                <w:rFonts w:ascii="宋体" w:hAnsi="宋体" w:cs="宋体"/>
                <w:sz w:val="28"/>
                <w:szCs w:val="28"/>
              </w:rPr>
            </w:pPr>
            <w:r>
              <w:rPr>
                <w:sz w:val="28"/>
                <w:szCs w:val="28"/>
              </w:rPr>
              <w:t>内容</w:t>
            </w:r>
          </w:p>
        </w:tc>
      </w:tr>
      <w:tr w14:paraId="1DEF0C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C49B5EE">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71617355">
            <w:pPr>
              <w:rPr>
                <w:rFonts w:ascii="宋体" w:hAnsi="宋体" w:cs="宋体"/>
                <w:szCs w:val="21"/>
              </w:rPr>
            </w:pPr>
            <w:r>
              <w:rPr>
                <w:szCs w:val="21"/>
              </w:rPr>
              <w:t>投标人具备招标文件所列的资格要求，</w:t>
            </w:r>
            <w:r>
              <w:rPr>
                <w:rFonts w:hint="eastAsia"/>
                <w:szCs w:val="21"/>
              </w:rPr>
              <w:t>且</w:t>
            </w:r>
            <w:r>
              <w:rPr>
                <w:szCs w:val="21"/>
              </w:rPr>
              <w:t>提交相应的资格证明资料（详见招标公告</w:t>
            </w:r>
            <w:r>
              <w:rPr>
                <w:rFonts w:ascii="宋体" w:hAnsi="宋体"/>
              </w:rPr>
              <w:t>申请人的资格要求</w:t>
            </w:r>
            <w:r>
              <w:rPr>
                <w:szCs w:val="21"/>
              </w:rPr>
              <w:t>）</w:t>
            </w:r>
          </w:p>
        </w:tc>
      </w:tr>
    </w:tbl>
    <w:p w14:paraId="15D29D0B">
      <w:pPr>
        <w:pStyle w:val="37"/>
        <w:spacing w:before="280" w:beforeAutospacing="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E80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F69C36C">
            <w:pPr>
              <w:jc w:val="center"/>
              <w:rPr>
                <w:rFonts w:ascii="宋体" w:hAnsi="宋体" w:cs="宋体"/>
                <w:sz w:val="28"/>
                <w:szCs w:val="28"/>
              </w:rPr>
            </w:pPr>
            <w:r>
              <w:rPr>
                <w:rFonts w:ascii="Times New Roman" w:hAnsi="Times New Roman"/>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53BC8C9E">
            <w:pPr>
              <w:jc w:val="center"/>
              <w:rPr>
                <w:rFonts w:ascii="宋体" w:hAnsi="宋体" w:cs="宋体"/>
                <w:sz w:val="28"/>
                <w:szCs w:val="28"/>
              </w:rPr>
            </w:pPr>
            <w:r>
              <w:rPr>
                <w:rFonts w:ascii="Times New Roman" w:hAnsi="Times New Roman"/>
                <w:sz w:val="28"/>
                <w:szCs w:val="28"/>
              </w:rPr>
              <w:t>内容</w:t>
            </w:r>
          </w:p>
        </w:tc>
      </w:tr>
      <w:tr w14:paraId="24004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3F35C8">
            <w:pPr>
              <w:jc w:val="center"/>
              <w:rPr>
                <w:rFonts w:ascii="宋体" w:hAnsi="宋体" w:cs="宋体"/>
                <w:szCs w:val="21"/>
              </w:rPr>
            </w:pPr>
            <w:r>
              <w:rPr>
                <w:rFonts w:ascii="Times New Roman" w:hAnsi="Times New Roman"/>
                <w:szCs w:val="21"/>
              </w:rPr>
              <w:t>1</w:t>
            </w:r>
          </w:p>
        </w:tc>
        <w:tc>
          <w:tcPr>
            <w:tcW w:w="0" w:type="auto"/>
            <w:tcBorders>
              <w:top w:val="single" w:color="000000" w:sz="8" w:space="0"/>
              <w:left w:val="single" w:color="000000" w:sz="8" w:space="0"/>
              <w:bottom w:val="single" w:color="000000" w:sz="8" w:space="0"/>
              <w:right w:val="single" w:color="000000" w:sz="8" w:space="0"/>
            </w:tcBorders>
          </w:tcPr>
          <w:p w14:paraId="6A12ABF1">
            <w:pPr>
              <w:rPr>
                <w:rFonts w:ascii="宋体" w:hAnsi="宋体" w:cs="宋体"/>
                <w:szCs w:val="21"/>
              </w:rPr>
            </w:pPr>
            <w:r>
              <w:rPr>
                <w:rFonts w:hint="eastAsia" w:ascii="Times New Roman" w:hAnsi="Times New Roman"/>
                <w:szCs w:val="21"/>
              </w:rPr>
              <w:t>未</w:t>
            </w:r>
            <w:r>
              <w:rPr>
                <w:rFonts w:ascii="Times New Roman" w:hAnsi="Times New Roman"/>
                <w:szCs w:val="21"/>
              </w:rPr>
              <w:t>将一个包或一个标段的内容拆开投标</w:t>
            </w:r>
          </w:p>
        </w:tc>
      </w:tr>
      <w:tr w14:paraId="3E5FD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2DD7F22">
            <w:pPr>
              <w:jc w:val="center"/>
              <w:rPr>
                <w:rFonts w:ascii="宋体" w:hAnsi="宋体" w:cs="宋体"/>
                <w:szCs w:val="21"/>
              </w:rPr>
            </w:pPr>
            <w:r>
              <w:rPr>
                <w:rFonts w:ascii="Times New Roman" w:hAnsi="Times New Roman"/>
                <w:szCs w:val="21"/>
              </w:rPr>
              <w:t>2</w:t>
            </w:r>
          </w:p>
        </w:tc>
        <w:tc>
          <w:tcPr>
            <w:tcW w:w="0" w:type="auto"/>
            <w:tcBorders>
              <w:top w:val="single" w:color="000000" w:sz="8" w:space="0"/>
              <w:left w:val="single" w:color="000000" w:sz="8" w:space="0"/>
              <w:bottom w:val="single" w:color="000000" w:sz="8" w:space="0"/>
              <w:right w:val="single" w:color="000000" w:sz="8" w:space="0"/>
            </w:tcBorders>
          </w:tcPr>
          <w:p w14:paraId="796BC700">
            <w:pPr>
              <w:rPr>
                <w:rFonts w:ascii="宋体" w:hAnsi="宋体" w:cs="宋体"/>
                <w:szCs w:val="21"/>
              </w:rPr>
            </w:pPr>
            <w:r>
              <w:rPr>
                <w:rFonts w:ascii="Times New Roman" w:hAnsi="Times New Roman"/>
                <w:szCs w:val="21"/>
              </w:rPr>
              <w:t>对同一项目投标时，</w:t>
            </w:r>
            <w:r>
              <w:rPr>
                <w:rFonts w:hint="eastAsia" w:ascii="Times New Roman" w:hAnsi="Times New Roman"/>
                <w:szCs w:val="21"/>
              </w:rPr>
              <w:t>未</w:t>
            </w:r>
            <w:r>
              <w:rPr>
                <w:rFonts w:ascii="Times New Roman" w:hAnsi="Times New Roman"/>
                <w:szCs w:val="21"/>
              </w:rPr>
              <w:t>提供两套</w:t>
            </w:r>
            <w:r>
              <w:rPr>
                <w:rFonts w:hint="eastAsia" w:ascii="Times New Roman" w:hAnsi="Times New Roman"/>
                <w:szCs w:val="21"/>
              </w:rPr>
              <w:t>及</w:t>
            </w:r>
            <w:r>
              <w:rPr>
                <w:rFonts w:ascii="Times New Roman" w:hAnsi="Times New Roman"/>
                <w:szCs w:val="21"/>
              </w:rPr>
              <w:t>以上的投标方案（招标文件另有规定的除外）</w:t>
            </w:r>
          </w:p>
        </w:tc>
      </w:tr>
      <w:tr w14:paraId="1181D1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6611EE">
            <w:pPr>
              <w:jc w:val="center"/>
              <w:rPr>
                <w:rFonts w:ascii="宋体" w:hAnsi="宋体" w:cs="宋体"/>
                <w:szCs w:val="21"/>
              </w:rPr>
            </w:pPr>
            <w:r>
              <w:rPr>
                <w:rFonts w:ascii="Times New Roman" w:hAnsi="Times New Roman"/>
                <w:szCs w:val="21"/>
              </w:rPr>
              <w:t>3</w:t>
            </w:r>
          </w:p>
        </w:tc>
        <w:tc>
          <w:tcPr>
            <w:tcW w:w="0" w:type="auto"/>
            <w:tcBorders>
              <w:top w:val="single" w:color="000000" w:sz="8" w:space="0"/>
              <w:left w:val="single" w:color="000000" w:sz="8" w:space="0"/>
              <w:bottom w:val="single" w:color="000000" w:sz="8" w:space="0"/>
              <w:right w:val="single" w:color="000000" w:sz="8" w:space="0"/>
            </w:tcBorders>
          </w:tcPr>
          <w:p w14:paraId="3350AFB7">
            <w:pPr>
              <w:rPr>
                <w:rFonts w:ascii="宋体" w:hAnsi="宋体" w:cs="宋体"/>
                <w:szCs w:val="21"/>
              </w:rPr>
            </w:pPr>
            <w:r>
              <w:rPr>
                <w:rFonts w:ascii="Times New Roman" w:hAnsi="Times New Roman"/>
                <w:szCs w:val="21"/>
              </w:rPr>
              <w:t>分项报价或投标总价</w:t>
            </w:r>
            <w:r>
              <w:rPr>
                <w:rFonts w:hint="eastAsia" w:ascii="Times New Roman" w:hAnsi="Times New Roman"/>
                <w:szCs w:val="21"/>
              </w:rPr>
              <w:t>未超过相应</w:t>
            </w:r>
            <w:r>
              <w:rPr>
                <w:rFonts w:ascii="Times New Roman" w:hAnsi="Times New Roman"/>
                <w:szCs w:val="21"/>
              </w:rPr>
              <w:t>预算金额</w:t>
            </w:r>
            <w:r>
              <w:rPr>
                <w:rFonts w:hint="eastAsia" w:ascii="Times New Roman" w:hAnsi="Times New Roman"/>
                <w:szCs w:val="21"/>
              </w:rPr>
              <w:t>或</w:t>
            </w:r>
            <w:r>
              <w:rPr>
                <w:rFonts w:ascii="Times New Roman" w:hAnsi="Times New Roman"/>
                <w:szCs w:val="21"/>
              </w:rPr>
              <w:t>最高投标限价</w:t>
            </w:r>
          </w:p>
        </w:tc>
      </w:tr>
      <w:tr w14:paraId="7A1E6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B01A2A2">
            <w:pPr>
              <w:jc w:val="center"/>
              <w:rPr>
                <w:rFonts w:ascii="宋体" w:hAnsi="宋体" w:cs="宋体"/>
                <w:szCs w:val="21"/>
              </w:rPr>
            </w:pPr>
            <w:r>
              <w:rPr>
                <w:rFonts w:ascii="Times New Roman" w:hAnsi="Times New Roman"/>
                <w:szCs w:val="21"/>
              </w:rPr>
              <w:t>4</w:t>
            </w:r>
          </w:p>
        </w:tc>
        <w:tc>
          <w:tcPr>
            <w:tcW w:w="0" w:type="auto"/>
            <w:tcBorders>
              <w:top w:val="single" w:color="000000" w:sz="8" w:space="0"/>
              <w:left w:val="single" w:color="000000" w:sz="8" w:space="0"/>
              <w:bottom w:val="single" w:color="000000" w:sz="8" w:space="0"/>
              <w:right w:val="single" w:color="000000" w:sz="8" w:space="0"/>
            </w:tcBorders>
          </w:tcPr>
          <w:p w14:paraId="5EECDB99">
            <w:pPr>
              <w:rPr>
                <w:rFonts w:ascii="宋体" w:hAnsi="宋体" w:cs="宋体"/>
                <w:szCs w:val="21"/>
              </w:rPr>
            </w:pPr>
            <w:r>
              <w:rPr>
                <w:rFonts w:hint="eastAsia" w:ascii="Times New Roman" w:hAnsi="Times New Roman"/>
                <w:szCs w:val="21"/>
              </w:rPr>
              <w:t>如评标委员会认为投标人的报价明显低于其他通过符合性审查投标人的报价，有可能影响产品质量或者不能诚信履约的，应当要求其在评标现场合理的时间内提供书面说明，必要时提交相关证明材料；投标人应证明其报价合理性（评审委员会成员对投标人提供的说明材料判断不一致的，按照“少数服从多数”的原则确定评审委员会的意见）</w:t>
            </w:r>
          </w:p>
        </w:tc>
      </w:tr>
      <w:tr w14:paraId="14B13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3FEDA98">
            <w:pPr>
              <w:jc w:val="center"/>
              <w:rPr>
                <w:rFonts w:ascii="宋体" w:hAnsi="宋体" w:cs="宋体"/>
                <w:szCs w:val="21"/>
              </w:rPr>
            </w:pPr>
            <w:r>
              <w:rPr>
                <w:rFonts w:ascii="Times New Roman" w:hAnsi="Times New Roman"/>
                <w:szCs w:val="21"/>
              </w:rPr>
              <w:t>5</w:t>
            </w:r>
          </w:p>
        </w:tc>
        <w:tc>
          <w:tcPr>
            <w:tcW w:w="0" w:type="auto"/>
            <w:tcBorders>
              <w:top w:val="single" w:color="000000" w:sz="8" w:space="0"/>
              <w:left w:val="single" w:color="000000" w:sz="8" w:space="0"/>
              <w:bottom w:val="single" w:color="000000" w:sz="8" w:space="0"/>
              <w:right w:val="single" w:color="000000" w:sz="8" w:space="0"/>
            </w:tcBorders>
          </w:tcPr>
          <w:p w14:paraId="1061A874">
            <w:pPr>
              <w:rPr>
                <w:rFonts w:ascii="宋体" w:hAnsi="宋体" w:cs="宋体"/>
                <w:szCs w:val="21"/>
              </w:rPr>
            </w:pPr>
            <w:r>
              <w:rPr>
                <w:rFonts w:ascii="Times New Roman" w:hAnsi="Times New Roman"/>
                <w:szCs w:val="21"/>
              </w:rPr>
              <w:t>投标报价</w:t>
            </w:r>
            <w:r>
              <w:rPr>
                <w:rFonts w:hint="eastAsia" w:ascii="Times New Roman" w:hAnsi="Times New Roman"/>
                <w:szCs w:val="21"/>
              </w:rPr>
              <w:t>满足招标文件报价要求且无</w:t>
            </w:r>
            <w:r>
              <w:rPr>
                <w:rFonts w:ascii="Times New Roman" w:hAnsi="Times New Roman"/>
                <w:szCs w:val="21"/>
              </w:rPr>
              <w:t>缺漏项目</w:t>
            </w:r>
            <w:r>
              <w:rPr>
                <w:rFonts w:ascii="宋体" w:hAnsi="宋体" w:cs="宋体"/>
                <w:szCs w:val="21"/>
              </w:rPr>
              <w:t xml:space="preserve"> </w:t>
            </w:r>
          </w:p>
        </w:tc>
      </w:tr>
      <w:tr w14:paraId="5B7F1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FE59BFD">
            <w:pPr>
              <w:jc w:val="center"/>
              <w:rPr>
                <w:rFonts w:ascii="Times New Roman" w:hAnsi="Times New Roman"/>
                <w:szCs w:val="21"/>
              </w:rPr>
            </w:pPr>
            <w:r>
              <w:rPr>
                <w:rFonts w:hint="eastAsia" w:ascii="Times New Roman" w:hAnsi="Times New Roman"/>
                <w:szCs w:val="21"/>
              </w:rPr>
              <w:t>6</w:t>
            </w:r>
          </w:p>
        </w:tc>
        <w:tc>
          <w:tcPr>
            <w:tcW w:w="0" w:type="auto"/>
            <w:tcBorders>
              <w:top w:val="single" w:color="000000" w:sz="8" w:space="0"/>
              <w:left w:val="single" w:color="000000" w:sz="8" w:space="0"/>
              <w:bottom w:val="single" w:color="000000" w:sz="8" w:space="0"/>
              <w:right w:val="single" w:color="000000" w:sz="8" w:space="0"/>
            </w:tcBorders>
          </w:tcPr>
          <w:p w14:paraId="2C54D015">
            <w:pPr>
              <w:rPr>
                <w:rFonts w:ascii="Times New Roman" w:hAnsi="Times New Roman"/>
                <w:szCs w:val="21"/>
              </w:rPr>
            </w:pPr>
            <w:r>
              <w:rPr>
                <w:rFonts w:hint="eastAsia" w:ascii="Times New Roman" w:hAnsi="Times New Roman"/>
                <w:szCs w:val="21"/>
              </w:rPr>
              <w:t>投标文件不存在</w:t>
            </w:r>
            <w:r>
              <w:rPr>
                <w:rFonts w:hint="eastAsia"/>
              </w:rPr>
              <w:t>对招标文件规定的货物或服务或工程量清单的项目或数量进行修改，评标委员会判定投标响应不满足采购需求的情形</w:t>
            </w:r>
          </w:p>
        </w:tc>
      </w:tr>
      <w:tr w14:paraId="23C844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0D73158">
            <w:pPr>
              <w:jc w:val="center"/>
              <w:rPr>
                <w:rFonts w:ascii="宋体" w:hAnsi="宋体" w:cs="宋体"/>
                <w:szCs w:val="21"/>
              </w:rPr>
            </w:pPr>
            <w:r>
              <w:rPr>
                <w:rFonts w:hint="eastAsia" w:ascii="Times New Roman" w:hAnsi="Times New Roman"/>
                <w:szCs w:val="21"/>
              </w:rPr>
              <w:t>7</w:t>
            </w:r>
          </w:p>
        </w:tc>
        <w:tc>
          <w:tcPr>
            <w:tcW w:w="0" w:type="auto"/>
            <w:tcBorders>
              <w:top w:val="single" w:color="000000" w:sz="8" w:space="0"/>
              <w:left w:val="single" w:color="000000" w:sz="8" w:space="0"/>
              <w:bottom w:val="single" w:color="000000" w:sz="8" w:space="0"/>
              <w:right w:val="single" w:color="000000" w:sz="8" w:space="0"/>
            </w:tcBorders>
          </w:tcPr>
          <w:p w14:paraId="30E827C7">
            <w:pPr>
              <w:rPr>
                <w:rFonts w:ascii="宋体" w:hAnsi="宋体" w:cs="宋体"/>
                <w:szCs w:val="21"/>
              </w:rPr>
            </w:pPr>
            <w:r>
              <w:rPr>
                <w:rFonts w:ascii="Times New Roman" w:hAnsi="Times New Roman"/>
                <w:szCs w:val="21"/>
              </w:rPr>
              <w:t>所投产品、工程、服务在商务、技术等方面实质性满足招标文件要求（是否实质性满足招标文件要求，由评标委员会根据《</w:t>
            </w:r>
            <w:r>
              <w:rPr>
                <w:rFonts w:hint="eastAsia" w:ascii="Times New Roman" w:hAnsi="Times New Roman"/>
                <w:szCs w:val="21"/>
              </w:rPr>
              <w:t>实质性条款响应情况表</w:t>
            </w:r>
            <w:r>
              <w:rPr>
                <w:rFonts w:ascii="Times New Roman" w:hAnsi="Times New Roman"/>
                <w:szCs w:val="21"/>
              </w:rPr>
              <w:t>》做出评判）</w:t>
            </w:r>
          </w:p>
        </w:tc>
      </w:tr>
      <w:tr w14:paraId="4E1958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DFAC455">
            <w:pPr>
              <w:jc w:val="center"/>
              <w:rPr>
                <w:rFonts w:ascii="宋体" w:hAnsi="宋体" w:cs="宋体"/>
                <w:szCs w:val="21"/>
              </w:rPr>
            </w:pPr>
            <w:r>
              <w:rPr>
                <w:rFonts w:hint="eastAsia" w:ascii="Times New Roman" w:hAnsi="Times New Roman"/>
                <w:szCs w:val="21"/>
              </w:rPr>
              <w:t>8</w:t>
            </w:r>
          </w:p>
        </w:tc>
        <w:tc>
          <w:tcPr>
            <w:tcW w:w="0" w:type="auto"/>
            <w:tcBorders>
              <w:top w:val="single" w:color="000000" w:sz="8" w:space="0"/>
              <w:left w:val="single" w:color="000000" w:sz="8" w:space="0"/>
              <w:bottom w:val="single" w:color="000000" w:sz="8" w:space="0"/>
              <w:right w:val="single" w:color="000000" w:sz="8" w:space="0"/>
            </w:tcBorders>
          </w:tcPr>
          <w:p w14:paraId="3F686E5B">
            <w:pPr>
              <w:rPr>
                <w:rFonts w:ascii="宋体" w:hAnsi="宋体" w:cs="宋体"/>
                <w:szCs w:val="21"/>
              </w:rPr>
            </w:pPr>
            <w:r>
              <w:rPr>
                <w:rFonts w:ascii="Times New Roman" w:hAnsi="Times New Roman"/>
                <w:szCs w:val="21"/>
              </w:rPr>
              <w:t>按招标文件所提供的样式填写《投标函》；按招标文件所提供的《政府采购投标及履约承诺函》进行承诺；</w:t>
            </w:r>
            <w:r>
              <w:rPr>
                <w:rFonts w:hint="eastAsia" w:ascii="Times New Roman" w:hAnsi="Times New Roman"/>
                <w:szCs w:val="21"/>
              </w:rPr>
              <w:t>并</w:t>
            </w:r>
            <w:r>
              <w:rPr>
                <w:rFonts w:ascii="Times New Roman" w:hAnsi="Times New Roman"/>
                <w:szCs w:val="21"/>
              </w:rPr>
              <w:t>按招标文件对投标文件组成的要求提供投标文件（投标文件组成完整）</w:t>
            </w:r>
          </w:p>
        </w:tc>
      </w:tr>
      <w:tr w14:paraId="72A44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B846D53">
            <w:pPr>
              <w:jc w:val="center"/>
              <w:rPr>
                <w:rFonts w:ascii="宋体" w:hAnsi="宋体" w:cs="宋体"/>
                <w:szCs w:val="21"/>
              </w:rPr>
            </w:pPr>
            <w:r>
              <w:rPr>
                <w:rFonts w:hint="eastAsia" w:ascii="Times New Roman" w:hAnsi="Times New Roman"/>
                <w:szCs w:val="21"/>
              </w:rPr>
              <w:t>9</w:t>
            </w:r>
          </w:p>
        </w:tc>
        <w:tc>
          <w:tcPr>
            <w:tcW w:w="0" w:type="auto"/>
            <w:tcBorders>
              <w:top w:val="single" w:color="000000" w:sz="8" w:space="0"/>
              <w:left w:val="single" w:color="000000" w:sz="8" w:space="0"/>
              <w:bottom w:val="single" w:color="000000" w:sz="8" w:space="0"/>
              <w:right w:val="single" w:color="000000" w:sz="8" w:space="0"/>
            </w:tcBorders>
          </w:tcPr>
          <w:p w14:paraId="1A4E612C">
            <w:pPr>
              <w:rPr>
                <w:rFonts w:ascii="宋体" w:hAnsi="宋体" w:cs="宋体"/>
                <w:szCs w:val="21"/>
              </w:rPr>
            </w:pPr>
            <w:r>
              <w:rPr>
                <w:rFonts w:hint="eastAsia" w:ascii="Times New Roman" w:hAnsi="Times New Roman"/>
                <w:szCs w:val="21"/>
              </w:rPr>
              <w:t>投标文件不存在列放位置错误，导致属于信息公开内容没有被公开的情形</w:t>
            </w:r>
          </w:p>
        </w:tc>
      </w:tr>
      <w:tr w14:paraId="33533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D18EFF0">
            <w:pPr>
              <w:jc w:val="center"/>
              <w:rPr>
                <w:rFonts w:ascii="宋体" w:hAnsi="宋体" w:cs="宋体"/>
                <w:szCs w:val="21"/>
              </w:rPr>
            </w:pPr>
            <w:r>
              <w:rPr>
                <w:rFonts w:hint="eastAsia" w:ascii="Times New Roman" w:hAnsi="Times New Roman"/>
                <w:szCs w:val="21"/>
              </w:rPr>
              <w:t>10</w:t>
            </w:r>
          </w:p>
        </w:tc>
        <w:tc>
          <w:tcPr>
            <w:tcW w:w="0" w:type="auto"/>
            <w:tcBorders>
              <w:top w:val="single" w:color="000000" w:sz="8" w:space="0"/>
              <w:left w:val="single" w:color="000000" w:sz="8" w:space="0"/>
              <w:bottom w:val="single" w:color="000000" w:sz="8" w:space="0"/>
              <w:right w:val="single" w:color="000000" w:sz="8" w:space="0"/>
            </w:tcBorders>
          </w:tcPr>
          <w:p w14:paraId="41D0F95C">
            <w:pPr>
              <w:rPr>
                <w:rFonts w:ascii="宋体" w:hAnsi="宋体" w:cs="宋体"/>
                <w:szCs w:val="21"/>
              </w:rPr>
            </w:pPr>
            <w:r>
              <w:rPr>
                <w:szCs w:val="21"/>
              </w:rPr>
              <w:t>投标文件</w:t>
            </w:r>
            <w:r>
              <w:rPr>
                <w:rFonts w:hint="eastAsia"/>
                <w:szCs w:val="21"/>
              </w:rPr>
              <w:t>不存在</w:t>
            </w:r>
            <w:r>
              <w:rPr>
                <w:szCs w:val="21"/>
              </w:rPr>
              <w:t>电子文档带病毒</w:t>
            </w:r>
            <w:r>
              <w:rPr>
                <w:rFonts w:hint="eastAsia"/>
                <w:szCs w:val="21"/>
              </w:rPr>
              <w:t>或使</w:t>
            </w:r>
            <w:r>
              <w:rPr>
                <w:szCs w:val="21"/>
              </w:rPr>
              <w:t>用</w:t>
            </w:r>
            <w:r>
              <w:rPr>
                <w:rFonts w:hint="eastAsia"/>
                <w:szCs w:val="21"/>
              </w:rPr>
              <w:t>其他投标人</w:t>
            </w:r>
            <w:r>
              <w:rPr>
                <w:szCs w:val="21"/>
              </w:rPr>
              <w:t>的电子密钥</w:t>
            </w:r>
            <w:r>
              <w:rPr>
                <w:rFonts w:hint="eastAsia"/>
              </w:rPr>
              <w:t>或电子营业执照</w:t>
            </w:r>
            <w:r>
              <w:rPr>
                <w:szCs w:val="21"/>
              </w:rPr>
              <w:t>进行加密</w:t>
            </w:r>
            <w:r>
              <w:rPr>
                <w:rFonts w:hint="eastAsia"/>
                <w:szCs w:val="21"/>
              </w:rPr>
              <w:t>的情形</w:t>
            </w:r>
          </w:p>
        </w:tc>
      </w:tr>
      <w:tr w14:paraId="49EC05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61E8864">
            <w:pPr>
              <w:jc w:val="center"/>
              <w:rPr>
                <w:rFonts w:ascii="宋体" w:hAnsi="宋体" w:cs="宋体"/>
                <w:szCs w:val="21"/>
              </w:rPr>
            </w:pPr>
            <w:r>
              <w:rPr>
                <w:rFonts w:hint="eastAsia" w:ascii="Times New Roman" w:hAnsi="Times New Roman"/>
                <w:szCs w:val="21"/>
              </w:rPr>
              <w:t>11</w:t>
            </w:r>
          </w:p>
        </w:tc>
        <w:tc>
          <w:tcPr>
            <w:tcW w:w="0" w:type="auto"/>
            <w:tcBorders>
              <w:top w:val="single" w:color="000000" w:sz="8" w:space="0"/>
              <w:left w:val="single" w:color="000000" w:sz="8" w:space="0"/>
              <w:bottom w:val="single" w:color="000000" w:sz="8" w:space="0"/>
              <w:right w:val="single" w:color="000000" w:sz="8" w:space="0"/>
            </w:tcBorders>
          </w:tcPr>
          <w:p w14:paraId="781DD52E">
            <w:pPr>
              <w:rPr>
                <w:rFonts w:cs="宋体" w:asciiTheme="minorEastAsia" w:hAnsiTheme="minorEastAsia" w:eastAsiaTheme="minorEastAsia"/>
                <w:szCs w:val="21"/>
              </w:rPr>
            </w:pPr>
            <w:r>
              <w:rPr>
                <w:rFonts w:asciiTheme="minorEastAsia" w:hAnsiTheme="minorEastAsia" w:eastAsiaTheme="minorEastAsia"/>
              </w:rPr>
              <w:t>不同投标</w:t>
            </w:r>
            <w:r>
              <w:rPr>
                <w:rFonts w:hint="eastAsia" w:asciiTheme="minorEastAsia" w:hAnsiTheme="minorEastAsia" w:eastAsiaTheme="minorEastAsia"/>
              </w:rPr>
              <w:t>人的</w:t>
            </w:r>
            <w:r>
              <w:rPr>
                <w:rFonts w:asciiTheme="minorEastAsia" w:hAnsiTheme="minorEastAsia" w:eastAsiaTheme="minorEastAsia"/>
              </w:rPr>
              <w:t>投标文件</w:t>
            </w:r>
            <w:r>
              <w:rPr>
                <w:rFonts w:hint="eastAsia" w:asciiTheme="minorEastAsia" w:hAnsiTheme="minorEastAsia" w:eastAsiaTheme="minorEastAsia"/>
              </w:rPr>
              <w:t>不存在</w:t>
            </w:r>
            <w:r>
              <w:rPr>
                <w:rFonts w:asciiTheme="minorEastAsia" w:hAnsiTheme="minorEastAsia" w:eastAsiaTheme="minorEastAsia"/>
              </w:rPr>
              <w:t>“文件制作机器码”一致</w:t>
            </w:r>
            <w:r>
              <w:rPr>
                <w:rFonts w:hint="eastAsia" w:asciiTheme="minorEastAsia" w:hAnsiTheme="minorEastAsia" w:eastAsiaTheme="minorEastAsia"/>
              </w:rPr>
              <w:t>或</w:t>
            </w:r>
            <w:r>
              <w:rPr>
                <w:rFonts w:hint="eastAsia" w:ascii="Times New Roman" w:hAnsi="Times New Roman"/>
                <w:szCs w:val="24"/>
              </w:rPr>
              <w:t>“文件创建标识码”一致的情形</w:t>
            </w:r>
          </w:p>
        </w:tc>
      </w:tr>
      <w:tr w14:paraId="0E692C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360B0A3">
            <w:pPr>
              <w:jc w:val="center"/>
              <w:rPr>
                <w:rFonts w:ascii="宋体" w:hAnsi="宋体" w:cs="宋体"/>
                <w:szCs w:val="21"/>
              </w:rPr>
            </w:pPr>
            <w:r>
              <w:rPr>
                <w:rFonts w:hint="eastAsia" w:ascii="Times New Roman" w:hAnsi="Times New Roman"/>
                <w:szCs w:val="21"/>
              </w:rPr>
              <w:t>12</w:t>
            </w:r>
          </w:p>
        </w:tc>
        <w:tc>
          <w:tcPr>
            <w:tcW w:w="0" w:type="auto"/>
            <w:tcBorders>
              <w:top w:val="single" w:color="000000" w:sz="8" w:space="0"/>
              <w:left w:val="single" w:color="000000" w:sz="8" w:space="0"/>
              <w:bottom w:val="single" w:color="000000" w:sz="8" w:space="0"/>
              <w:right w:val="single" w:color="000000" w:sz="8" w:space="0"/>
            </w:tcBorders>
          </w:tcPr>
          <w:p w14:paraId="6BA99CF3">
            <w:pPr>
              <w:rPr>
                <w:rFonts w:ascii="宋体" w:hAnsi="宋体" w:cs="宋体"/>
                <w:szCs w:val="21"/>
              </w:rPr>
            </w:pPr>
            <w:r>
              <w:rPr>
                <w:rFonts w:hint="eastAsia" w:ascii="Times New Roman" w:hAnsi="Times New Roman"/>
                <w:szCs w:val="24"/>
              </w:rPr>
              <w:t>法律、法规、规章、规范性文件规定的其他情形</w:t>
            </w:r>
          </w:p>
        </w:tc>
      </w:tr>
    </w:tbl>
    <w:p w14:paraId="3B999800">
      <w:pPr>
        <w:spacing w:line="324" w:lineRule="auto"/>
        <w:ind w:firstLine="420"/>
        <w:rPr>
          <w:rFonts w:ascii="Times New Roman" w:hAnsi="Times New Roman"/>
          <w:b/>
          <w:color w:val="FF0000"/>
          <w:szCs w:val="21"/>
        </w:rPr>
      </w:pPr>
      <w:r>
        <w:rPr>
          <w:rFonts w:hint="eastAsia" w:ascii="Times New Roman" w:hAnsi="Times New Roman"/>
          <w:b/>
          <w:color w:val="FF0000"/>
          <w:szCs w:val="21"/>
        </w:rPr>
        <w:t>特别说明：</w:t>
      </w:r>
    </w:p>
    <w:p w14:paraId="4C9E3C7D">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1、投标人须在开标当日的开标时间至解密截止时间内完成投标文件在线解密，逾期未解密的作无效处理。</w:t>
      </w:r>
    </w:p>
    <w:p w14:paraId="43C573E9">
      <w:pPr>
        <w:spacing w:line="324" w:lineRule="auto"/>
        <w:ind w:firstLine="420"/>
        <w:rPr>
          <w:rFonts w:asciiTheme="minorEastAsia" w:hAnsiTheme="minorEastAsia" w:eastAsiaTheme="minorEastAsia"/>
          <w:b/>
          <w:color w:val="FF0000"/>
          <w:szCs w:val="21"/>
        </w:rPr>
      </w:pPr>
      <w:r>
        <w:rPr>
          <w:rFonts w:hint="eastAsia" w:asciiTheme="minorEastAsia" w:hAnsiTheme="minorEastAsia" w:eastAsiaTheme="minorEastAsia"/>
          <w:b/>
          <w:color w:val="FF0000"/>
          <w:szCs w:val="21"/>
        </w:rPr>
        <w:t>2、投标人不符合《资格性审查表》或《符合性审查表》中任一情形的，初审不通过，投标无效。</w:t>
      </w:r>
    </w:p>
    <w:p w14:paraId="0386454B">
      <w:pPr>
        <w:spacing w:line="324" w:lineRule="auto"/>
        <w:ind w:firstLine="420"/>
        <w:rPr>
          <w:rFonts w:asciiTheme="minorEastAsia" w:hAnsiTheme="minorEastAsia" w:eastAsiaTheme="minorEastAsia"/>
          <w:b/>
          <w:color w:val="FF0000"/>
          <w:szCs w:val="21"/>
        </w:rPr>
      </w:pPr>
    </w:p>
    <w:p w14:paraId="0BF6D41C">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Layout w:type="autofit"/>
        <w:tblCellMar>
          <w:top w:w="45" w:type="dxa"/>
          <w:left w:w="45" w:type="dxa"/>
          <w:bottom w:w="45" w:type="dxa"/>
          <w:right w:w="45" w:type="dxa"/>
        </w:tblCellMar>
      </w:tblPr>
      <w:tblGrid>
        <w:gridCol w:w="8824"/>
        <w:gridCol w:w="248"/>
      </w:tblGrid>
      <w:tr w14:paraId="61973B73">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14:paraId="7AC905CA">
            <w:pPr>
              <w:rPr>
                <w:rFonts w:ascii="宋体" w:hAnsi="宋体" w:cs="宋体"/>
                <w:b/>
                <w:bCs/>
                <w:sz w:val="24"/>
                <w:szCs w:val="24"/>
              </w:rPr>
            </w:pPr>
            <w:r>
              <w:rPr>
                <w:b/>
                <w:bCs/>
              </w:rPr>
              <w:t>评标方法：综合评分法（新价格分算法）</w:t>
            </w:r>
          </w:p>
        </w:tc>
        <w:tc>
          <w:tcPr>
            <w:tcW w:w="0" w:type="auto"/>
            <w:tcBorders>
              <w:top w:val="nil"/>
              <w:left w:val="nil"/>
              <w:bottom w:val="nil"/>
              <w:right w:val="nil"/>
            </w:tcBorders>
            <w:vAlign w:val="center"/>
          </w:tcPr>
          <w:p w14:paraId="14BDF8C5">
            <w:pPr>
              <w:jc w:val="right"/>
              <w:rPr>
                <w:rFonts w:ascii="宋体" w:hAnsi="宋体" w:cs="宋体"/>
                <w:b/>
                <w:bCs/>
                <w:sz w:val="24"/>
                <w:szCs w:val="24"/>
              </w:rPr>
            </w:pPr>
          </w:p>
        </w:tc>
      </w:tr>
      <w:tr w14:paraId="57668ECB">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vAlign w:val="center"/>
          </w:tcPr>
          <w:p w14:paraId="30590C49">
            <w:pPr>
              <w:pStyle w:val="37"/>
              <w:spacing w:line="324" w:lineRule="auto"/>
              <w:ind w:firstLine="420"/>
              <w:rPr>
                <w:sz w:val="21"/>
                <w:szCs w:val="21"/>
              </w:rPr>
            </w:pPr>
            <w:r>
              <w:rPr>
                <w:sz w:val="21"/>
                <w:szCs w:val="21"/>
              </w:rPr>
              <w:t>综合评分法，是指</w:t>
            </w:r>
            <w:r>
              <w:rPr>
                <w:rFonts w:hint="eastAsia"/>
                <w:sz w:val="21"/>
                <w:szCs w:val="21"/>
              </w:rPr>
              <w:t>在最大限度地满足招标文件实质性要求的前提下，按照招标文件中规定的各项因素进行综合评审，评标总得分排名前列的投标人，作为推荐的候选中标供应商</w:t>
            </w:r>
            <w:r>
              <w:rPr>
                <w:sz w:val="21"/>
                <w:szCs w:val="21"/>
              </w:rPr>
              <w:t xml:space="preserve">。 </w:t>
            </w:r>
          </w:p>
          <w:p w14:paraId="19CF142F">
            <w:pPr>
              <w:pStyle w:val="37"/>
              <w:ind w:firstLine="420"/>
              <w:rPr>
                <w:sz w:val="21"/>
                <w:szCs w:val="21"/>
              </w:rPr>
            </w:pPr>
            <w:r>
              <w:rPr>
                <w:sz w:val="21"/>
                <w:szCs w:val="21"/>
              </w:rPr>
              <w:t>价格分计算方法：</w:t>
            </w:r>
          </w:p>
          <w:p w14:paraId="4E700542">
            <w:pPr>
              <w:pStyle w:val="37"/>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 xml:space="preserve">评标过程中，不得去掉报价中的最高报价和最低报价。 </w:t>
            </w:r>
            <w:r>
              <w:rPr>
                <w:sz w:val="21"/>
                <w:szCs w:val="21"/>
              </w:rPr>
              <w:br w:type="textWrapping"/>
            </w:r>
            <w:r>
              <w:rPr>
                <w:rFonts w:hint="eastAsia"/>
                <w:sz w:val="21"/>
                <w:szCs w:val="21"/>
              </w:rPr>
              <w:t>因落实政府采购政策进行价格调整的，以调整后的价格计算评标基准价和投标报价</w:t>
            </w:r>
            <w:r>
              <w:rPr>
                <w:sz w:val="21"/>
                <w:szCs w:val="21"/>
              </w:rPr>
              <w:t xml:space="preserve">。 </w:t>
            </w:r>
          </w:p>
        </w:tc>
      </w:tr>
    </w:tbl>
    <w:p w14:paraId="5654881C">
      <w:pPr>
        <w:rPr>
          <w:vanish/>
        </w:rPr>
      </w:pPr>
    </w:p>
    <w:tbl>
      <w:tblPr>
        <w:tblStyle w:val="42"/>
        <w:tblW w:w="96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835"/>
        <w:gridCol w:w="681"/>
        <w:gridCol w:w="4763"/>
      </w:tblGrid>
      <w:tr w14:paraId="67E0DC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5C03E3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663CCBF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476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B655B7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权重(%)</w:t>
            </w:r>
          </w:p>
        </w:tc>
      </w:tr>
      <w:tr w14:paraId="436C67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right w:val="single" w:color="000000" w:sz="8" w:space="0"/>
            </w:tcBorders>
          </w:tcPr>
          <w:p w14:paraId="2C929EB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055296A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4763" w:type="dxa"/>
            <w:tcBorders>
              <w:top w:val="single" w:color="000000" w:sz="8" w:space="0"/>
              <w:left w:val="single" w:color="000000" w:sz="8" w:space="0"/>
              <w:bottom w:val="single" w:color="000000" w:sz="8" w:space="0"/>
              <w:right w:val="single" w:color="000000" w:sz="8" w:space="0"/>
            </w:tcBorders>
          </w:tcPr>
          <w:p w14:paraId="089CA04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10</w:t>
            </w:r>
          </w:p>
        </w:tc>
      </w:tr>
      <w:tr w14:paraId="369EB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396B902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187E3D5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w:t>
            </w:r>
          </w:p>
        </w:tc>
        <w:tc>
          <w:tcPr>
            <w:tcW w:w="4763" w:type="dxa"/>
            <w:tcBorders>
              <w:top w:val="single" w:color="000000" w:sz="8" w:space="0"/>
              <w:left w:val="single" w:color="000000" w:sz="8" w:space="0"/>
              <w:bottom w:val="single" w:color="000000" w:sz="8" w:space="0"/>
              <w:right w:val="single" w:color="000000" w:sz="8" w:space="0"/>
            </w:tcBorders>
          </w:tcPr>
          <w:p w14:paraId="3CE14FE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55</w:t>
            </w:r>
          </w:p>
        </w:tc>
      </w:tr>
      <w:tr w14:paraId="3AB8A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F0024CE">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3DB9AAB">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4A7B45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42C903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34830D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10A371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3A63EAA6">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2463A21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6FC88F7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实施方案</w:t>
            </w:r>
          </w:p>
        </w:tc>
        <w:tc>
          <w:tcPr>
            <w:tcW w:w="681" w:type="dxa"/>
            <w:tcBorders>
              <w:top w:val="single" w:color="000000" w:sz="8" w:space="0"/>
              <w:left w:val="single" w:color="000000" w:sz="8" w:space="0"/>
              <w:bottom w:val="single" w:color="000000" w:sz="8" w:space="0"/>
              <w:right w:val="single" w:color="000000" w:sz="8" w:space="0"/>
            </w:tcBorders>
          </w:tcPr>
          <w:p w14:paraId="0728996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763" w:type="dxa"/>
            <w:tcBorders>
              <w:top w:val="single" w:color="000000" w:sz="8" w:space="0"/>
              <w:left w:val="single" w:color="000000" w:sz="8" w:space="0"/>
              <w:bottom w:val="single" w:color="000000" w:sz="8" w:space="0"/>
              <w:right w:val="single" w:color="000000" w:sz="8" w:space="0"/>
            </w:tcBorders>
          </w:tcPr>
          <w:p w14:paraId="316C279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0610941">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投标人根据本项目要求提供</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实施方案</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，包括以下内容：</w:t>
            </w:r>
          </w:p>
          <w:p w14:paraId="27E5A9D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对</w:t>
            </w:r>
            <w:r>
              <w:rPr>
                <w:rFonts w:hint="eastAsia" w:ascii="宋体" w:hAnsi="宋体" w:eastAsia="宋体" w:cs="宋体"/>
                <w:kern w:val="0"/>
                <w:sz w:val="21"/>
                <w:szCs w:val="21"/>
              </w:rPr>
              <w:t>项目需求</w:t>
            </w:r>
            <w:r>
              <w:rPr>
                <w:rFonts w:hint="eastAsia" w:ascii="宋体" w:hAnsi="宋体" w:eastAsia="宋体" w:cs="宋体"/>
                <w:kern w:val="0"/>
                <w:sz w:val="21"/>
                <w:szCs w:val="21"/>
                <w:lang w:eastAsia="zh-CN"/>
              </w:rPr>
              <w:t>的</w:t>
            </w:r>
            <w:r>
              <w:rPr>
                <w:rFonts w:hint="eastAsia" w:ascii="宋体" w:hAnsi="宋体" w:eastAsia="宋体" w:cs="宋体"/>
                <w:kern w:val="0"/>
                <w:sz w:val="21"/>
                <w:szCs w:val="21"/>
              </w:rPr>
              <w:t>分析；</w:t>
            </w:r>
          </w:p>
          <w:p w14:paraId="1F18A556">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2.提出服务方案，包括风险评估服务方案、攻防演练服务方案、重点时期保障服务方案、网络威胁监测分析服务方案、API安全监测服务方案；</w:t>
            </w:r>
          </w:p>
          <w:p w14:paraId="1F59BB6C">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3.提出项目组织实施方案，包含项目实施计划、实施人员分工。</w:t>
            </w:r>
          </w:p>
          <w:p w14:paraId="4DD2BE35">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p>
          <w:p w14:paraId="59C71403">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37D64018">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投标人提供的</w:t>
            </w:r>
            <w:r>
              <w:rPr>
                <w:rFonts w:hint="eastAsia" w:ascii="宋体" w:hAnsi="宋体" w:eastAsia="宋体" w:cs="宋体"/>
                <w:sz w:val="21"/>
                <w:szCs w:val="21"/>
                <w:lang w:eastAsia="zh-CN"/>
              </w:rPr>
              <w:t>“</w:t>
            </w:r>
            <w:r>
              <w:rPr>
                <w:rFonts w:hint="eastAsia" w:ascii="宋体" w:hAnsi="宋体" w:eastAsia="宋体" w:cs="宋体"/>
                <w:sz w:val="21"/>
                <w:szCs w:val="21"/>
              </w:rPr>
              <w:t>实施方案</w:t>
            </w:r>
            <w:r>
              <w:rPr>
                <w:rFonts w:hint="eastAsia" w:ascii="宋体" w:hAnsi="宋体" w:eastAsia="宋体" w:cs="宋体"/>
                <w:sz w:val="21"/>
                <w:szCs w:val="21"/>
                <w:lang w:eastAsia="zh-CN"/>
              </w:rPr>
              <w:t>”</w:t>
            </w:r>
            <w:r>
              <w:rPr>
                <w:rFonts w:hint="eastAsia" w:ascii="宋体" w:hAnsi="宋体" w:eastAsia="宋体" w:cs="宋体"/>
                <w:sz w:val="21"/>
                <w:szCs w:val="21"/>
              </w:rPr>
              <w:t>每满足以上1点得20分，最高得60分。在以上评审内容的基础上，根据各投标人的具体响应内容进一步评审加分：</w:t>
            </w:r>
          </w:p>
          <w:p w14:paraId="008D7C6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1方案符合实际现状、层次分明；</w:t>
            </w:r>
          </w:p>
          <w:p w14:paraId="202BB2D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2.方案内容完整；</w:t>
            </w:r>
          </w:p>
          <w:p w14:paraId="2190A06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3.方案科学合理、思路清晰；</w:t>
            </w:r>
          </w:p>
          <w:p w14:paraId="661BC12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4.方案针对性强，可操作性强</w:t>
            </w:r>
            <w:r>
              <w:rPr>
                <w:rFonts w:hint="eastAsia" w:ascii="宋体" w:hAnsi="宋体" w:eastAsia="宋体" w:cs="宋体"/>
                <w:sz w:val="21"/>
                <w:szCs w:val="21"/>
                <w:lang w:eastAsia="zh-CN"/>
              </w:rPr>
              <w:t>。</w:t>
            </w:r>
          </w:p>
          <w:p w14:paraId="4211AC0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每满足以上1项要求加10分，最高加40分。</w:t>
            </w:r>
          </w:p>
        </w:tc>
      </w:tr>
      <w:tr w14:paraId="14D5C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5CAB386E">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6364D07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41A03DA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tcPr>
          <w:p w14:paraId="1873C77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4763" w:type="dxa"/>
            <w:tcBorders>
              <w:top w:val="single" w:color="000000" w:sz="8" w:space="0"/>
              <w:left w:val="single" w:color="000000" w:sz="8" w:space="0"/>
              <w:bottom w:val="single" w:color="000000" w:sz="8" w:space="0"/>
              <w:right w:val="single" w:color="000000" w:sz="8" w:space="0"/>
            </w:tcBorders>
          </w:tcPr>
          <w:p w14:paraId="7EF161C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C1EFDF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投标人根据本项目要求提供“项目重点难点分析、应对措施及相关的合理化建议”，包括以下内容：</w:t>
            </w:r>
          </w:p>
          <w:p w14:paraId="20DFE84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1.项目重点、难点的分析； </w:t>
            </w:r>
          </w:p>
          <w:p w14:paraId="5B877FC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2.项目重点、难点的应对措施和相关合理化建议；</w:t>
            </w:r>
          </w:p>
          <w:p w14:paraId="6078DB13">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3.项目应急措施和应急响应支持服务。</w:t>
            </w:r>
          </w:p>
          <w:p w14:paraId="6ACCAEF9">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5D1CB3E3">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4033776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投标人提供的“项目重点难点分析、应对措施及相关的合理化建议”每满足以上1点得20分，最高60分。在以上评审内容的基础上，根据各投标人的具体响应内容进一步评审加分：</w:t>
            </w:r>
          </w:p>
          <w:p w14:paraId="69C77A2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1.项目重点、难点分析透彻、详实完整；</w:t>
            </w:r>
          </w:p>
          <w:p w14:paraId="50C814D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2.项目重点、难点的应对措施紧扣项目需求；</w:t>
            </w:r>
          </w:p>
          <w:p w14:paraId="042CB4A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3.项目重点、难点的应对措施逻辑清晰、层次分明、科学可行；</w:t>
            </w:r>
          </w:p>
          <w:p w14:paraId="7021793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4.项目实施提出的相关合理化建议合理且可操作性强。</w:t>
            </w:r>
          </w:p>
          <w:p w14:paraId="21570D0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每满足以上1项要求加10分，最高加40分。</w:t>
            </w:r>
          </w:p>
        </w:tc>
      </w:tr>
      <w:tr w14:paraId="268343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491CDB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970B2D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822629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质量保障措施及方案</w:t>
            </w:r>
          </w:p>
        </w:tc>
        <w:tc>
          <w:tcPr>
            <w:tcW w:w="681" w:type="dxa"/>
            <w:tcBorders>
              <w:top w:val="single" w:color="000000" w:sz="8" w:space="0"/>
              <w:left w:val="single" w:color="000000" w:sz="8" w:space="0"/>
              <w:bottom w:val="single" w:color="000000" w:sz="8" w:space="0"/>
              <w:right w:val="single" w:color="000000" w:sz="8" w:space="0"/>
            </w:tcBorders>
          </w:tcPr>
          <w:p w14:paraId="5AC8656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4763" w:type="dxa"/>
            <w:tcBorders>
              <w:top w:val="single" w:color="000000" w:sz="8" w:space="0"/>
              <w:left w:val="single" w:color="000000" w:sz="8" w:space="0"/>
              <w:bottom w:val="single" w:color="000000" w:sz="8" w:space="0"/>
              <w:right w:val="single" w:color="000000" w:sz="8" w:space="0"/>
            </w:tcBorders>
          </w:tcPr>
          <w:p w14:paraId="7D8F185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429AF88">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投标人根据本项目要求提供“质量保障措施及方案”，包括以下内容：</w:t>
            </w:r>
          </w:p>
          <w:p w14:paraId="47A59657">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1.项目质量管理措施及方法；</w:t>
            </w:r>
          </w:p>
          <w:p w14:paraId="3B8306C0">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2.质量管控制度及项目质量管控工具或系统；</w:t>
            </w:r>
          </w:p>
          <w:p w14:paraId="6D6FBB6A">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3.项目安全服务方案；</w:t>
            </w:r>
          </w:p>
          <w:p w14:paraId="112CC469">
            <w:pPr>
              <w:keepNext w:val="0"/>
              <w:keepLines w:val="0"/>
              <w:pageBreakBefore w:val="0"/>
              <w:kinsoku/>
              <w:wordWrap/>
              <w:overflowPunct/>
              <w:topLinePunct w:val="0"/>
              <w:autoSpaceDE w:val="0"/>
              <w:autoSpaceDN w:val="0"/>
              <w:bidi w:val="0"/>
              <w:adjustRightInd w:val="0"/>
              <w:spacing w:line="360" w:lineRule="auto"/>
              <w:textAlignment w:val="auto"/>
              <w:rPr>
                <w:rFonts w:hint="eastAsia" w:ascii="宋体" w:hAnsi="宋体" w:eastAsia="宋体" w:cs="宋体"/>
                <w:kern w:val="0"/>
                <w:sz w:val="21"/>
                <w:szCs w:val="21"/>
              </w:rPr>
            </w:pPr>
            <w:r>
              <w:rPr>
                <w:rFonts w:hint="eastAsia" w:ascii="宋体" w:hAnsi="宋体" w:eastAsia="宋体" w:cs="宋体"/>
                <w:kern w:val="0"/>
                <w:sz w:val="21"/>
                <w:szCs w:val="21"/>
              </w:rPr>
              <w:t>4.项目保密措施及方案。</w:t>
            </w:r>
          </w:p>
          <w:p w14:paraId="1AA1DF96">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p>
          <w:p w14:paraId="299B3712">
            <w:pPr>
              <w:keepNext w:val="0"/>
              <w:keepLines w:val="0"/>
              <w:pageBreakBefore w:val="0"/>
              <w:widowControl/>
              <w:kinsoku/>
              <w:wordWrap/>
              <w:overflowPunct/>
              <w:topLinePunct w:val="0"/>
              <w:bidi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1620CA0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投标人提供的“质量（完成时间、安全）保障措施及方案”每满足以上1点，得20分，最高得80分。在以上评审内容的基础上，根据各投标人的具体响应内容进一步评审加分：</w:t>
            </w:r>
          </w:p>
          <w:p w14:paraId="028924B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1.措施及方案详实完整、有效全面；</w:t>
            </w:r>
          </w:p>
          <w:p w14:paraId="0138E2E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2.措施及方案逻辑清晰、层次分明；</w:t>
            </w:r>
          </w:p>
          <w:p w14:paraId="1D8A4C36">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3.措施及方案针对性强；</w:t>
            </w:r>
          </w:p>
          <w:p w14:paraId="45F19EF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4.措施及方案科学合理、可操作性强</w:t>
            </w:r>
            <w:r>
              <w:rPr>
                <w:rFonts w:hint="eastAsia" w:ascii="宋体" w:hAnsi="宋体" w:eastAsia="宋体" w:cs="宋体"/>
                <w:sz w:val="21"/>
                <w:szCs w:val="21"/>
                <w:lang w:eastAsia="zh-CN"/>
              </w:rPr>
              <w:t>。</w:t>
            </w:r>
          </w:p>
          <w:p w14:paraId="4D54FC4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每满足以上1项要求加5分，最高加20分。</w:t>
            </w:r>
          </w:p>
        </w:tc>
      </w:tr>
      <w:tr w14:paraId="46353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1708915C">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75CB2C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835" w:type="dxa"/>
            <w:tcBorders>
              <w:top w:val="single" w:color="000000" w:sz="8" w:space="0"/>
              <w:left w:val="single" w:color="000000" w:sz="8" w:space="0"/>
              <w:bottom w:val="single" w:color="000000" w:sz="8" w:space="0"/>
              <w:right w:val="single" w:color="000000" w:sz="8" w:space="0"/>
            </w:tcBorders>
          </w:tcPr>
          <w:p w14:paraId="7716400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现场演示</w:t>
            </w:r>
          </w:p>
        </w:tc>
        <w:tc>
          <w:tcPr>
            <w:tcW w:w="681" w:type="dxa"/>
            <w:tcBorders>
              <w:top w:val="single" w:color="000000" w:sz="8" w:space="0"/>
              <w:left w:val="single" w:color="000000" w:sz="8" w:space="0"/>
              <w:bottom w:val="single" w:color="000000" w:sz="8" w:space="0"/>
              <w:right w:val="single" w:color="000000" w:sz="8" w:space="0"/>
            </w:tcBorders>
          </w:tcPr>
          <w:p w14:paraId="4090030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763" w:type="dxa"/>
            <w:tcBorders>
              <w:top w:val="single" w:color="000000" w:sz="8" w:space="0"/>
              <w:left w:val="single" w:color="000000" w:sz="8" w:space="0"/>
              <w:bottom w:val="single" w:color="000000" w:sz="8" w:space="0"/>
              <w:right w:val="single" w:color="000000" w:sz="8" w:space="0"/>
            </w:tcBorders>
          </w:tcPr>
          <w:p w14:paraId="5EBCA44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3A9F0A9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投标人根据本项目中涉及的“安全渗透测试”相关技术和规划方案现场演示</w:t>
            </w:r>
            <w:r>
              <w:rPr>
                <w:rFonts w:hint="eastAsia" w:ascii="宋体" w:hAnsi="宋体" w:eastAsia="宋体" w:cs="宋体"/>
                <w:sz w:val="21"/>
                <w:szCs w:val="21"/>
                <w:lang w:eastAsia="zh-CN"/>
              </w:rPr>
              <w:t>；</w:t>
            </w:r>
          </w:p>
          <w:p w14:paraId="641699B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投标人对“粤盾”、“深蓝”、“粤网安”等工作的支撑方案</w:t>
            </w:r>
            <w:r>
              <w:rPr>
                <w:rFonts w:hint="eastAsia" w:ascii="宋体" w:hAnsi="宋体" w:eastAsia="宋体" w:cs="宋体"/>
                <w:sz w:val="21"/>
                <w:szCs w:val="21"/>
                <w:lang w:val="en-US" w:eastAsia="zh-CN"/>
              </w:rPr>
              <w:t>进行演示</w:t>
            </w:r>
            <w:r>
              <w:rPr>
                <w:rFonts w:hint="eastAsia" w:ascii="宋体" w:hAnsi="宋体" w:eastAsia="宋体" w:cs="宋体"/>
                <w:sz w:val="21"/>
                <w:szCs w:val="21"/>
                <w:lang w:eastAsia="zh-CN"/>
              </w:rPr>
              <w:t>；</w:t>
            </w:r>
          </w:p>
          <w:p w14:paraId="18442ACE">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3.投标人对网络威胁分析工具及API安全监测工具进行演示。</w:t>
            </w:r>
          </w:p>
          <w:p w14:paraId="5903F08E">
            <w:pPr>
              <w:pStyle w:val="2"/>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p>
          <w:p w14:paraId="1E63978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（二）评分标准：</w:t>
            </w:r>
          </w:p>
          <w:p w14:paraId="03466EA8">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现场演示采用PPT形式</w:t>
            </w:r>
            <w:r>
              <w:rPr>
                <w:rFonts w:hint="eastAsia" w:ascii="宋体" w:hAnsi="宋体" w:eastAsia="宋体" w:cs="宋体"/>
                <w:sz w:val="21"/>
                <w:szCs w:val="21"/>
                <w:lang w:eastAsia="zh-CN"/>
              </w:rPr>
              <w:t>，</w:t>
            </w:r>
            <w:r>
              <w:rPr>
                <w:rFonts w:hint="eastAsia" w:ascii="宋体" w:hAnsi="宋体" w:eastAsia="宋体" w:cs="宋体"/>
                <w:sz w:val="21"/>
                <w:szCs w:val="21"/>
              </w:rPr>
              <w:t>演示内容包含以上三项</w:t>
            </w:r>
            <w:r>
              <w:rPr>
                <w:rFonts w:hint="eastAsia" w:ascii="宋体" w:hAnsi="宋体" w:eastAsia="宋体" w:cs="宋体"/>
                <w:sz w:val="21"/>
                <w:szCs w:val="21"/>
                <w:lang w:val="en-US" w:eastAsia="zh-CN"/>
              </w:rPr>
              <w:t>内容</w:t>
            </w:r>
            <w:r>
              <w:rPr>
                <w:rFonts w:hint="eastAsia" w:ascii="宋体" w:hAnsi="宋体" w:eastAsia="宋体" w:cs="宋体"/>
                <w:sz w:val="21"/>
                <w:szCs w:val="21"/>
              </w:rPr>
              <w:t>得60分；包含以上任意二项内容得40分；包含以上任意一项内容得20分；其他情况不得分。在此基础上，根据方案响应情况进一步评审：</w:t>
            </w:r>
          </w:p>
          <w:p w14:paraId="07F47CD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演示内容具体，可行性高，针对性和可操作性强的，加</w:t>
            </w:r>
            <w:r>
              <w:rPr>
                <w:rFonts w:hint="eastAsia" w:ascii="宋体" w:hAnsi="宋体" w:eastAsia="宋体" w:cs="宋体"/>
                <w:sz w:val="21"/>
                <w:szCs w:val="21"/>
                <w:lang w:val="en-US" w:eastAsia="zh-CN"/>
              </w:rPr>
              <w:t>40</w:t>
            </w:r>
            <w:r>
              <w:rPr>
                <w:rFonts w:hint="eastAsia" w:ascii="宋体" w:hAnsi="宋体" w:eastAsia="宋体" w:cs="宋体"/>
                <w:sz w:val="21"/>
                <w:szCs w:val="21"/>
              </w:rPr>
              <w:t>分；</w:t>
            </w:r>
          </w:p>
          <w:p w14:paraId="3A69D7D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演示内容较具体，可行性</w:t>
            </w:r>
            <w:r>
              <w:rPr>
                <w:rFonts w:hint="eastAsia" w:ascii="宋体" w:hAnsi="宋体" w:eastAsia="宋体" w:cs="宋体"/>
                <w:sz w:val="21"/>
                <w:szCs w:val="21"/>
                <w:lang w:val="en-US" w:eastAsia="zh-CN"/>
              </w:rPr>
              <w:t>较</w:t>
            </w:r>
            <w:r>
              <w:rPr>
                <w:rFonts w:hint="eastAsia" w:ascii="宋体" w:hAnsi="宋体" w:eastAsia="宋体" w:cs="宋体"/>
                <w:sz w:val="21"/>
                <w:szCs w:val="21"/>
              </w:rPr>
              <w:t>高，针对性和可操作性较强的，加</w:t>
            </w:r>
            <w:r>
              <w:rPr>
                <w:rFonts w:hint="eastAsia" w:ascii="宋体" w:hAnsi="宋体" w:eastAsia="宋体" w:cs="宋体"/>
                <w:sz w:val="21"/>
                <w:szCs w:val="21"/>
                <w:lang w:val="en-US" w:eastAsia="zh-CN"/>
              </w:rPr>
              <w:t>20</w:t>
            </w:r>
            <w:r>
              <w:rPr>
                <w:rFonts w:hint="eastAsia" w:ascii="宋体" w:hAnsi="宋体" w:eastAsia="宋体" w:cs="宋体"/>
                <w:sz w:val="21"/>
                <w:szCs w:val="21"/>
              </w:rPr>
              <w:t>分；</w:t>
            </w:r>
          </w:p>
          <w:p w14:paraId="3906354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演示内容一般，可行性</w:t>
            </w:r>
            <w:r>
              <w:rPr>
                <w:rFonts w:hint="eastAsia" w:ascii="宋体" w:hAnsi="宋体" w:eastAsia="宋体" w:cs="宋体"/>
                <w:sz w:val="21"/>
                <w:szCs w:val="21"/>
                <w:lang w:val="en-US" w:eastAsia="zh-CN"/>
              </w:rPr>
              <w:t>一般</w:t>
            </w:r>
            <w:r>
              <w:rPr>
                <w:rFonts w:hint="eastAsia" w:ascii="宋体" w:hAnsi="宋体" w:eastAsia="宋体" w:cs="宋体"/>
                <w:sz w:val="21"/>
                <w:szCs w:val="21"/>
              </w:rPr>
              <w:t>，针对性和可操作性一般的，加</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14:paraId="7F92774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演示内容差，可行性</w:t>
            </w:r>
            <w:r>
              <w:rPr>
                <w:rFonts w:hint="eastAsia" w:ascii="宋体" w:hAnsi="宋体" w:eastAsia="宋体" w:cs="宋体"/>
                <w:sz w:val="21"/>
                <w:szCs w:val="21"/>
                <w:lang w:val="en-US" w:eastAsia="zh-CN"/>
              </w:rPr>
              <w:t>低</w:t>
            </w:r>
            <w:r>
              <w:rPr>
                <w:rFonts w:hint="eastAsia" w:ascii="宋体" w:hAnsi="宋体" w:eastAsia="宋体" w:cs="宋体"/>
                <w:sz w:val="21"/>
                <w:szCs w:val="21"/>
              </w:rPr>
              <w:t>，针对性和可操作性差，不加分。</w:t>
            </w:r>
          </w:p>
          <w:p w14:paraId="6C9B58F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备注：不参与演示不得分</w:t>
            </w:r>
            <w:r>
              <w:rPr>
                <w:rFonts w:hint="eastAsia" w:ascii="宋体" w:hAnsi="宋体" w:eastAsia="宋体" w:cs="宋体"/>
                <w:sz w:val="21"/>
                <w:szCs w:val="21"/>
                <w:lang w:eastAsia="zh-CN"/>
              </w:rPr>
              <w:t>。</w:t>
            </w:r>
          </w:p>
        </w:tc>
      </w:tr>
      <w:tr w14:paraId="0DB068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F23CA0F">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206BB8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835" w:type="dxa"/>
            <w:tcBorders>
              <w:top w:val="single" w:color="000000" w:sz="8" w:space="0"/>
              <w:left w:val="single" w:color="000000" w:sz="8" w:space="0"/>
              <w:bottom w:val="single" w:color="000000" w:sz="8" w:space="0"/>
              <w:right w:val="single" w:color="000000" w:sz="8" w:space="0"/>
            </w:tcBorders>
          </w:tcPr>
          <w:p w14:paraId="051FD06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项目完成（服务期满）后的服务承诺</w:t>
            </w:r>
          </w:p>
        </w:tc>
        <w:tc>
          <w:tcPr>
            <w:tcW w:w="681" w:type="dxa"/>
            <w:tcBorders>
              <w:top w:val="single" w:color="000000" w:sz="8" w:space="0"/>
              <w:left w:val="single" w:color="000000" w:sz="8" w:space="0"/>
              <w:bottom w:val="single" w:color="000000" w:sz="8" w:space="0"/>
              <w:right w:val="single" w:color="000000" w:sz="8" w:space="0"/>
            </w:tcBorders>
          </w:tcPr>
          <w:p w14:paraId="738637B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763" w:type="dxa"/>
            <w:tcBorders>
              <w:top w:val="single" w:color="000000" w:sz="8" w:space="0"/>
              <w:left w:val="single" w:color="000000" w:sz="8" w:space="0"/>
              <w:bottom w:val="single" w:color="000000" w:sz="8" w:space="0"/>
              <w:right w:val="single" w:color="000000" w:sz="8" w:space="0"/>
            </w:tcBorders>
          </w:tcPr>
          <w:p w14:paraId="62BB975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1E063A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投标人根据本项目要求提供“项目完成（服务期满）后的服务承诺”，包括以下内容：</w:t>
            </w:r>
          </w:p>
          <w:p w14:paraId="1C7DBA58">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1.服务时限承诺；</w:t>
            </w:r>
          </w:p>
          <w:p w14:paraId="1847FDC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2.售后服务措施及方案。</w:t>
            </w:r>
          </w:p>
          <w:p w14:paraId="15B2399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7271AF6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（二）评分标准：</w:t>
            </w:r>
          </w:p>
          <w:p w14:paraId="7DFDC37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投标人提供的“项目完成（服务期满）后的服务承诺”每满足以上1点的得30分，最高得60分。在以上评审内容的基础上，根据各投标人的具体响应内容进一步评审加分：</w:t>
            </w:r>
          </w:p>
          <w:p w14:paraId="7555FFDE">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1.服务承诺内容具体完善、有效全面；</w:t>
            </w:r>
          </w:p>
          <w:p w14:paraId="27D270C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2.服务承诺内容逻辑清晰、层次分明；</w:t>
            </w:r>
          </w:p>
          <w:p w14:paraId="2E6B359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3.服务承诺内容针对性强；</w:t>
            </w:r>
          </w:p>
          <w:p w14:paraId="72E932A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4.服务承诺内容可操作性强。</w:t>
            </w:r>
          </w:p>
          <w:p w14:paraId="1C22F55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每满足以上1项要求加10分，最高加40分。</w:t>
            </w:r>
          </w:p>
        </w:tc>
      </w:tr>
      <w:tr w14:paraId="47D191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7DBC8EE">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5C7243A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835" w:type="dxa"/>
            <w:tcBorders>
              <w:top w:val="single" w:color="000000" w:sz="8" w:space="0"/>
              <w:left w:val="single" w:color="000000" w:sz="8" w:space="0"/>
              <w:bottom w:val="single" w:color="000000" w:sz="8" w:space="0"/>
              <w:right w:val="single" w:color="000000" w:sz="8" w:space="0"/>
            </w:tcBorders>
          </w:tcPr>
          <w:p w14:paraId="33BF3E9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违约承诺</w:t>
            </w:r>
          </w:p>
        </w:tc>
        <w:tc>
          <w:tcPr>
            <w:tcW w:w="681" w:type="dxa"/>
            <w:tcBorders>
              <w:top w:val="single" w:color="000000" w:sz="8" w:space="0"/>
              <w:left w:val="single" w:color="000000" w:sz="8" w:space="0"/>
              <w:bottom w:val="single" w:color="000000" w:sz="8" w:space="0"/>
              <w:right w:val="single" w:color="000000" w:sz="8" w:space="0"/>
            </w:tcBorders>
          </w:tcPr>
          <w:p w14:paraId="02536FC8">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763" w:type="dxa"/>
            <w:tcBorders>
              <w:top w:val="single" w:color="000000" w:sz="8" w:space="0"/>
              <w:left w:val="single" w:color="000000" w:sz="8" w:space="0"/>
              <w:bottom w:val="single" w:color="000000" w:sz="8" w:space="0"/>
              <w:right w:val="single" w:color="000000" w:sz="8" w:space="0"/>
            </w:tcBorders>
          </w:tcPr>
          <w:p w14:paraId="35153E8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023363D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投标人根据本项目要求提供“违约承诺”，包括以下内容：</w:t>
            </w:r>
          </w:p>
          <w:p w14:paraId="0C5B7758">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1.人员严格按照招标文件及投标承诺配置；</w:t>
            </w:r>
          </w:p>
          <w:p w14:paraId="413ABCC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2.服务质量达到招标文件要求；</w:t>
            </w:r>
          </w:p>
          <w:p w14:paraId="3F9DCD7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3.对未能达到的招标文件要求或投标承诺而愿承担责任。</w:t>
            </w:r>
          </w:p>
          <w:p w14:paraId="0908C0B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7113BD26">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（二）评分标准：</w:t>
            </w:r>
          </w:p>
          <w:p w14:paraId="133E3BE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投标人提供的“违约承诺”每满足以上1点，得20分，最高得60分。在以上评审内容的基础上，根据各投标人的具体响应内容进一步评审加分：</w:t>
            </w:r>
          </w:p>
          <w:p w14:paraId="2476BEF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1.违约承诺内容针对性强，即针对本项目开展过程及后续服务中可能出现的违约承诺进行了全面的预判；</w:t>
            </w:r>
          </w:p>
          <w:p w14:paraId="417A0E86">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2.违约承诺内容完全符合招标文件的技术要求；</w:t>
            </w:r>
          </w:p>
          <w:p w14:paraId="033C686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3.违约承诺内容逻辑清晰、层次分明；</w:t>
            </w:r>
          </w:p>
          <w:p w14:paraId="5926110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4.违约承诺内容科学合理、可操作性强</w:t>
            </w:r>
            <w:r>
              <w:rPr>
                <w:rFonts w:hint="eastAsia" w:ascii="宋体" w:hAnsi="宋体" w:eastAsia="宋体" w:cs="宋体"/>
                <w:sz w:val="21"/>
                <w:szCs w:val="21"/>
                <w:lang w:eastAsia="zh-CN"/>
              </w:rPr>
              <w:t>。</w:t>
            </w:r>
          </w:p>
          <w:p w14:paraId="14039CF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每满足以上1项要求加10分，最高加40分。</w:t>
            </w:r>
          </w:p>
        </w:tc>
      </w:tr>
      <w:tr w14:paraId="27C9B7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2110694F">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20D3D2D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2835" w:type="dxa"/>
            <w:tcBorders>
              <w:top w:val="single" w:color="000000" w:sz="8" w:space="0"/>
              <w:left w:val="single" w:color="000000" w:sz="8" w:space="0"/>
              <w:bottom w:val="single" w:color="000000" w:sz="8" w:space="0"/>
              <w:right w:val="single" w:color="000000" w:sz="8" w:space="0"/>
            </w:tcBorders>
          </w:tcPr>
          <w:p w14:paraId="7961511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拟安排的项目负责人(仅限1人）情况</w:t>
            </w:r>
          </w:p>
        </w:tc>
        <w:tc>
          <w:tcPr>
            <w:tcW w:w="681" w:type="dxa"/>
            <w:tcBorders>
              <w:top w:val="single" w:color="000000" w:sz="8" w:space="0"/>
              <w:left w:val="single" w:color="000000" w:sz="8" w:space="0"/>
              <w:bottom w:val="single" w:color="000000" w:sz="8" w:space="0"/>
              <w:right w:val="single" w:color="000000" w:sz="8" w:space="0"/>
            </w:tcBorders>
          </w:tcPr>
          <w:p w14:paraId="08E11E1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763" w:type="dxa"/>
            <w:tcBorders>
              <w:top w:val="single" w:color="000000" w:sz="8" w:space="0"/>
              <w:left w:val="single" w:color="000000" w:sz="8" w:space="0"/>
              <w:bottom w:val="single" w:color="000000" w:sz="8" w:space="0"/>
              <w:right w:val="single" w:color="000000" w:sz="8" w:space="0"/>
            </w:tcBorders>
          </w:tcPr>
          <w:p w14:paraId="316A4B9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50D8F7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拟安排的项目负责人</w:t>
            </w:r>
            <w:r>
              <w:rPr>
                <w:rFonts w:hint="eastAsia" w:ascii="宋体" w:hAnsi="宋体" w:eastAsia="宋体" w:cs="宋体"/>
                <w:color w:val="000000"/>
                <w:kern w:val="0"/>
                <w:sz w:val="21"/>
                <w:szCs w:val="21"/>
              </w:rPr>
              <w:t>(仅限1人）</w:t>
            </w:r>
            <w:r>
              <w:rPr>
                <w:rFonts w:hint="eastAsia" w:ascii="宋体" w:hAnsi="宋体" w:eastAsia="宋体" w:cs="宋体"/>
                <w:sz w:val="21"/>
                <w:szCs w:val="21"/>
              </w:rPr>
              <w:t>需为投标人</w:t>
            </w:r>
            <w:r>
              <w:rPr>
                <w:rFonts w:hint="eastAsia" w:ascii="宋体" w:hAnsi="宋体" w:eastAsia="宋体" w:cs="宋体"/>
                <w:color w:val="000000" w:themeColor="text1"/>
                <w:sz w:val="21"/>
                <w:szCs w:val="21"/>
              </w:rPr>
              <w:t>正式聘任</w:t>
            </w:r>
            <w:r>
              <w:rPr>
                <w:rFonts w:hint="eastAsia" w:ascii="宋体" w:hAnsi="宋体" w:eastAsia="宋体" w:cs="宋体"/>
                <w:sz w:val="21"/>
                <w:szCs w:val="21"/>
              </w:rPr>
              <w:t>员工，否则本项不得分。在此基础上，按以下标准评分：</w:t>
            </w:r>
          </w:p>
          <w:p w14:paraId="4BE2E80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1.具</w:t>
            </w:r>
            <w:r>
              <w:rPr>
                <w:rFonts w:hint="eastAsia" w:ascii="宋体" w:hAnsi="宋体" w:eastAsia="宋体" w:cs="宋体"/>
                <w:sz w:val="21"/>
                <w:szCs w:val="21"/>
                <w:lang w:eastAsia="zh-CN"/>
              </w:rPr>
              <w:t>有</w:t>
            </w:r>
            <w:r>
              <w:rPr>
                <w:rFonts w:hint="eastAsia" w:ascii="宋体" w:hAnsi="宋体" w:eastAsia="宋体" w:cs="宋体"/>
                <w:sz w:val="21"/>
                <w:szCs w:val="21"/>
              </w:rPr>
              <w:t>PMP项目管理认证证书，得20分；</w:t>
            </w:r>
          </w:p>
          <w:p w14:paraId="71B4611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2.具</w:t>
            </w:r>
            <w:r>
              <w:rPr>
                <w:rFonts w:hint="eastAsia" w:ascii="宋体" w:hAnsi="宋体" w:eastAsia="宋体" w:cs="宋体"/>
                <w:sz w:val="21"/>
                <w:szCs w:val="21"/>
                <w:lang w:eastAsia="zh-CN"/>
              </w:rPr>
              <w:t>有</w:t>
            </w:r>
            <w:r>
              <w:rPr>
                <w:rFonts w:hint="eastAsia" w:ascii="宋体" w:hAnsi="宋体" w:eastAsia="宋体" w:cs="宋体"/>
                <w:sz w:val="21"/>
                <w:szCs w:val="21"/>
              </w:rPr>
              <w:t>注册信息安全工程师</w:t>
            </w:r>
            <w:r>
              <w:rPr>
                <w:rFonts w:hint="eastAsia" w:ascii="宋体" w:hAnsi="宋体" w:eastAsia="宋体" w:cs="宋体"/>
                <w:sz w:val="21"/>
                <w:szCs w:val="21"/>
                <w:lang w:eastAsia="zh-CN"/>
              </w:rPr>
              <w:t>（</w:t>
            </w:r>
            <w:r>
              <w:rPr>
                <w:rFonts w:hint="eastAsia" w:ascii="宋体" w:hAnsi="宋体" w:eastAsia="宋体" w:cs="宋体"/>
                <w:sz w:val="21"/>
                <w:szCs w:val="21"/>
              </w:rPr>
              <w:t>CISE</w:t>
            </w:r>
            <w:r>
              <w:rPr>
                <w:rFonts w:hint="eastAsia" w:ascii="宋体" w:hAnsi="宋体" w:eastAsia="宋体" w:cs="宋体"/>
                <w:sz w:val="21"/>
                <w:szCs w:val="21"/>
                <w:lang w:eastAsia="zh-CN"/>
              </w:rPr>
              <w:t>）</w:t>
            </w:r>
            <w:r>
              <w:rPr>
                <w:rFonts w:hint="eastAsia" w:ascii="宋体" w:hAnsi="宋体" w:eastAsia="宋体" w:cs="宋体"/>
                <w:sz w:val="21"/>
                <w:szCs w:val="21"/>
              </w:rPr>
              <w:t>认证证书</w:t>
            </w:r>
            <w:r>
              <w:rPr>
                <w:rFonts w:hint="eastAsia" w:ascii="宋体" w:hAnsi="宋体" w:eastAsia="宋体" w:cs="宋体"/>
                <w:sz w:val="21"/>
                <w:szCs w:val="21"/>
                <w:lang w:eastAsia="zh-CN"/>
              </w:rPr>
              <w:t>或</w:t>
            </w:r>
            <w:r>
              <w:rPr>
                <w:rFonts w:hint="eastAsia" w:ascii="宋体" w:hAnsi="宋体" w:eastAsia="宋体" w:cs="宋体"/>
                <w:sz w:val="21"/>
                <w:szCs w:val="21"/>
              </w:rPr>
              <w:t>信息系统安全专业认证（CISSP）证</w:t>
            </w:r>
            <w:r>
              <w:rPr>
                <w:rFonts w:hint="eastAsia" w:ascii="宋体" w:hAnsi="宋体" w:eastAsia="宋体" w:cs="宋体"/>
                <w:sz w:val="21"/>
                <w:szCs w:val="21"/>
                <w:lang w:val="en-US" w:eastAsia="zh-CN"/>
              </w:rPr>
              <w:t>书</w:t>
            </w:r>
            <w:r>
              <w:rPr>
                <w:rFonts w:hint="eastAsia" w:ascii="宋体" w:hAnsi="宋体" w:eastAsia="宋体" w:cs="宋体"/>
                <w:sz w:val="21"/>
                <w:szCs w:val="21"/>
              </w:rPr>
              <w:t>，得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14:paraId="7A26E80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w:t>
            </w:r>
            <w:r>
              <w:rPr>
                <w:rFonts w:hint="eastAsia" w:ascii="宋体" w:hAnsi="宋体" w:eastAsia="宋体" w:cs="宋体"/>
                <w:sz w:val="21"/>
                <w:szCs w:val="21"/>
                <w:lang w:eastAsia="zh-CN"/>
              </w:rPr>
              <w:t>有</w:t>
            </w:r>
            <w:r>
              <w:rPr>
                <w:rFonts w:hint="eastAsia" w:ascii="宋体" w:hAnsi="宋体" w:eastAsia="宋体" w:cs="宋体"/>
                <w:sz w:val="21"/>
                <w:szCs w:val="21"/>
              </w:rPr>
              <w:t>数据安全专家认证（CDSP）证书</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15分；</w:t>
            </w:r>
          </w:p>
          <w:p w14:paraId="5ABC87E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.具</w:t>
            </w:r>
            <w:r>
              <w:rPr>
                <w:rFonts w:hint="eastAsia" w:ascii="宋体" w:hAnsi="宋体" w:eastAsia="宋体" w:cs="宋体"/>
                <w:sz w:val="21"/>
                <w:szCs w:val="21"/>
                <w:lang w:eastAsia="zh-CN"/>
              </w:rPr>
              <w:t>有</w:t>
            </w:r>
            <w:r>
              <w:rPr>
                <w:rFonts w:hint="eastAsia" w:ascii="宋体" w:hAnsi="宋体" w:eastAsia="宋体" w:cs="宋体"/>
                <w:sz w:val="21"/>
                <w:szCs w:val="21"/>
              </w:rPr>
              <w:t>网络和数据安全相关</w:t>
            </w:r>
            <w:r>
              <w:rPr>
                <w:rFonts w:hint="eastAsia" w:ascii="宋体" w:hAnsi="宋体" w:eastAsia="宋体" w:cs="宋体"/>
                <w:sz w:val="21"/>
                <w:szCs w:val="21"/>
                <w:lang w:eastAsia="zh-CN"/>
              </w:rPr>
              <w:t>专业</w:t>
            </w:r>
            <w:r>
              <w:rPr>
                <w:rFonts w:hint="eastAsia" w:ascii="宋体" w:hAnsi="宋体" w:eastAsia="宋体" w:cs="宋体"/>
                <w:sz w:val="21"/>
                <w:szCs w:val="21"/>
              </w:rPr>
              <w:t>中级及以上职称证书，得20分；</w:t>
            </w:r>
          </w:p>
          <w:p w14:paraId="240EFD9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.具</w:t>
            </w:r>
            <w:r>
              <w:rPr>
                <w:rFonts w:hint="eastAsia" w:ascii="宋体" w:hAnsi="宋体" w:eastAsia="宋体" w:cs="宋体"/>
                <w:sz w:val="21"/>
                <w:szCs w:val="21"/>
                <w:lang w:eastAsia="zh-CN"/>
              </w:rPr>
              <w:t>有硕士及以上</w:t>
            </w:r>
            <w:r>
              <w:rPr>
                <w:rFonts w:hint="eastAsia" w:ascii="宋体" w:hAnsi="宋体" w:eastAsia="宋体" w:cs="宋体"/>
                <w:sz w:val="21"/>
                <w:szCs w:val="21"/>
                <w:lang w:val="en-US" w:eastAsia="zh-CN"/>
              </w:rPr>
              <w:t>学位</w:t>
            </w:r>
            <w:r>
              <w:rPr>
                <w:rFonts w:hint="eastAsia" w:ascii="宋体" w:hAnsi="宋体" w:eastAsia="宋体" w:cs="宋体"/>
                <w:sz w:val="21"/>
                <w:szCs w:val="21"/>
              </w:rPr>
              <w:t>，得20分；</w:t>
            </w:r>
          </w:p>
          <w:p w14:paraId="2D45021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.具</w:t>
            </w:r>
            <w:r>
              <w:rPr>
                <w:rFonts w:hint="eastAsia" w:ascii="宋体" w:hAnsi="宋体" w:eastAsia="宋体" w:cs="宋体"/>
                <w:sz w:val="21"/>
                <w:szCs w:val="21"/>
                <w:lang w:eastAsia="zh-CN"/>
              </w:rPr>
              <w:t>有</w:t>
            </w:r>
            <w:r>
              <w:rPr>
                <w:rFonts w:hint="eastAsia" w:ascii="宋体" w:hAnsi="宋体" w:eastAsia="宋体" w:cs="宋体"/>
                <w:sz w:val="21"/>
                <w:szCs w:val="21"/>
                <w:lang w:val="en-US" w:eastAsia="zh-CN"/>
              </w:rPr>
              <w:t>3年及以上</w:t>
            </w:r>
            <w:r>
              <w:rPr>
                <w:rFonts w:hint="eastAsia" w:ascii="宋体" w:hAnsi="宋体" w:eastAsia="宋体" w:cs="宋体"/>
                <w:sz w:val="21"/>
                <w:szCs w:val="21"/>
                <w:lang w:eastAsia="zh-CN"/>
              </w:rPr>
              <w:t>同类项目</w:t>
            </w:r>
            <w:r>
              <w:rPr>
                <w:rFonts w:hint="eastAsia" w:ascii="宋体" w:hAnsi="宋体" w:eastAsia="宋体" w:cs="宋体"/>
                <w:sz w:val="21"/>
                <w:szCs w:val="21"/>
                <w:lang w:val="en-US" w:eastAsia="zh-CN"/>
              </w:rPr>
              <w:t>工作经验</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0分</w:t>
            </w:r>
            <w:r>
              <w:rPr>
                <w:rFonts w:hint="eastAsia" w:ascii="宋体" w:hAnsi="宋体" w:eastAsia="宋体" w:cs="宋体"/>
                <w:sz w:val="21"/>
                <w:szCs w:val="21"/>
                <w:lang w:eastAsia="zh-CN"/>
              </w:rPr>
              <w:t>。</w:t>
            </w:r>
          </w:p>
          <w:p w14:paraId="4F61E52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rPr>
              <w:t>以上累计最高得100分。</w:t>
            </w:r>
          </w:p>
          <w:p w14:paraId="59A00CF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4EE65818">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03DBA71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提供项目负责人通过投标单位缴纳的载有社保部门或税务部门公章的近三个月内</w:t>
            </w:r>
            <w:r>
              <w:rPr>
                <w:rFonts w:hint="eastAsia" w:ascii="宋体" w:hAnsi="宋体" w:eastAsia="宋体" w:cs="宋体"/>
                <w:sz w:val="21"/>
                <w:szCs w:val="21"/>
                <w:lang w:eastAsia="zh-CN"/>
              </w:rPr>
              <w:t>任意一个月</w:t>
            </w:r>
            <w:r>
              <w:rPr>
                <w:rFonts w:hint="eastAsia" w:ascii="宋体" w:hAnsi="宋体" w:eastAsia="宋体" w:cs="宋体"/>
                <w:sz w:val="21"/>
                <w:szCs w:val="21"/>
              </w:rPr>
              <w:t>的个人社保证明，如供应商为新成立单位且成立时间不足</w:t>
            </w:r>
            <w:r>
              <w:rPr>
                <w:rFonts w:hint="eastAsia" w:ascii="宋体" w:hAnsi="宋体" w:eastAsia="宋体" w:cs="宋体"/>
                <w:sz w:val="21"/>
                <w:szCs w:val="21"/>
                <w:lang w:val="en-US" w:eastAsia="zh-CN"/>
              </w:rPr>
              <w:t>一</w:t>
            </w:r>
            <w:r>
              <w:rPr>
                <w:rFonts w:hint="eastAsia" w:ascii="宋体" w:hAnsi="宋体" w:eastAsia="宋体" w:cs="宋体"/>
                <w:sz w:val="21"/>
                <w:szCs w:val="21"/>
              </w:rPr>
              <w:t>个月的，可提供加盖公章的情况说明或者证明材料亦视为符合。如为退休返聘人员则提供劳动合同或返聘协议；</w:t>
            </w:r>
          </w:p>
          <w:p w14:paraId="0E6E014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提供上述有效证书</w:t>
            </w:r>
            <w:r>
              <w:rPr>
                <w:rFonts w:hint="eastAsia" w:ascii="宋体" w:hAnsi="宋体" w:eastAsia="宋体" w:cs="宋体"/>
                <w:sz w:val="21"/>
                <w:szCs w:val="21"/>
                <w:lang w:val="en-US" w:eastAsia="zh-CN"/>
              </w:rPr>
              <w:t>作为评分依据</w:t>
            </w:r>
            <w:r>
              <w:rPr>
                <w:rFonts w:hint="eastAsia" w:ascii="宋体" w:hAnsi="宋体" w:eastAsia="宋体" w:cs="宋体"/>
                <w:sz w:val="21"/>
                <w:szCs w:val="21"/>
              </w:rPr>
              <w:t>；</w:t>
            </w:r>
            <w:r>
              <w:rPr>
                <w:rFonts w:hint="eastAsia" w:ascii="宋体" w:hAnsi="宋体" w:eastAsia="宋体" w:cs="宋体"/>
                <w:sz w:val="21"/>
                <w:szCs w:val="21"/>
                <w:lang w:val="en-US" w:eastAsia="zh-CN"/>
              </w:rPr>
              <w:t>涉及学位的，提供</w:t>
            </w:r>
            <w:r>
              <w:rPr>
                <w:rFonts w:hint="eastAsia" w:ascii="宋体" w:hAnsi="宋体" w:eastAsia="宋体" w:cs="宋体"/>
                <w:sz w:val="21"/>
                <w:szCs w:val="21"/>
              </w:rPr>
              <w:t>学位证书以及学信网查询记录</w:t>
            </w:r>
            <w:r>
              <w:rPr>
                <w:rFonts w:hint="eastAsia" w:ascii="宋体" w:hAnsi="宋体" w:eastAsia="宋体" w:cs="宋体"/>
                <w:sz w:val="21"/>
                <w:szCs w:val="21"/>
                <w:lang w:eastAsia="zh-CN"/>
              </w:rPr>
              <w:t>（</w:t>
            </w:r>
            <w:r>
              <w:rPr>
                <w:rFonts w:hint="eastAsia" w:ascii="宋体" w:hAnsi="宋体" w:eastAsia="宋体" w:cs="宋体"/>
                <w:sz w:val="21"/>
                <w:szCs w:val="21"/>
              </w:rPr>
              <w:t>对于学信网无法查询的，还需提供毕业院校或人社部门或教育部门等颁发机构或监管机构出具的证明，否则无效</w:t>
            </w:r>
            <w:r>
              <w:rPr>
                <w:rFonts w:hint="eastAsia" w:ascii="宋体" w:hAnsi="宋体" w:eastAsia="宋体" w:cs="宋体"/>
                <w:sz w:val="21"/>
                <w:szCs w:val="21"/>
                <w:lang w:eastAsia="zh-CN"/>
              </w:rPr>
              <w:t>）</w:t>
            </w:r>
            <w:r>
              <w:rPr>
                <w:rFonts w:hint="eastAsia" w:ascii="宋体" w:hAnsi="宋体" w:eastAsia="宋体" w:cs="宋体"/>
                <w:sz w:val="21"/>
                <w:szCs w:val="21"/>
              </w:rPr>
              <w:t>；</w:t>
            </w:r>
          </w:p>
          <w:p w14:paraId="7AFFC46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涉及考察人员工作经验的，要求提供项目合同关键信息作为评分依据，通过合同关键信息无法判断是否得分的，还需同时提供合同甲方出具的证明文件；</w:t>
            </w:r>
          </w:p>
          <w:p w14:paraId="7EDE406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如涉及网站截图或照片等证明材料,需提供清晰图片。未按要求提供有效证明材料或提供不清晰导致评委无法识别的不计得分。</w:t>
            </w:r>
          </w:p>
        </w:tc>
      </w:tr>
      <w:tr w14:paraId="03F46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bottom w:val="single" w:color="000000" w:sz="8" w:space="0"/>
              <w:right w:val="single" w:color="000000" w:sz="8" w:space="0"/>
            </w:tcBorders>
            <w:vAlign w:val="center"/>
          </w:tcPr>
          <w:p w14:paraId="6432F63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98805D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2835" w:type="dxa"/>
            <w:tcBorders>
              <w:top w:val="single" w:color="000000" w:sz="8" w:space="0"/>
              <w:left w:val="single" w:color="000000" w:sz="8" w:space="0"/>
              <w:bottom w:val="single" w:color="000000" w:sz="8" w:space="0"/>
              <w:right w:val="single" w:color="000000" w:sz="8" w:space="0"/>
            </w:tcBorders>
          </w:tcPr>
          <w:p w14:paraId="7B8AA4B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拟安排的项目主要团队成员（主要技术人员）情况（项目负责人除外）</w:t>
            </w:r>
          </w:p>
        </w:tc>
        <w:tc>
          <w:tcPr>
            <w:tcW w:w="681" w:type="dxa"/>
            <w:tcBorders>
              <w:top w:val="single" w:color="000000" w:sz="8" w:space="0"/>
              <w:left w:val="single" w:color="000000" w:sz="8" w:space="0"/>
              <w:bottom w:val="single" w:color="000000" w:sz="8" w:space="0"/>
              <w:right w:val="single" w:color="000000" w:sz="8" w:space="0"/>
            </w:tcBorders>
          </w:tcPr>
          <w:p w14:paraId="7A9B53F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763" w:type="dxa"/>
            <w:tcBorders>
              <w:top w:val="single" w:color="000000" w:sz="8" w:space="0"/>
              <w:left w:val="single" w:color="000000" w:sz="8" w:space="0"/>
              <w:bottom w:val="single" w:color="000000" w:sz="8" w:space="0"/>
              <w:right w:val="single" w:color="000000" w:sz="8" w:space="0"/>
            </w:tcBorders>
          </w:tcPr>
          <w:p w14:paraId="0B68CF9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D32018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拟安排的项目团队成员（项目负责人除外）需为投标人</w:t>
            </w:r>
            <w:r>
              <w:rPr>
                <w:rFonts w:hint="eastAsia" w:ascii="宋体" w:hAnsi="宋体" w:eastAsia="宋体" w:cs="宋体"/>
                <w:color w:val="000000" w:themeColor="text1"/>
                <w:sz w:val="21"/>
                <w:szCs w:val="21"/>
              </w:rPr>
              <w:t>正式聘任</w:t>
            </w:r>
            <w:r>
              <w:rPr>
                <w:rFonts w:hint="eastAsia" w:ascii="宋体" w:hAnsi="宋体" w:eastAsia="宋体" w:cs="宋体"/>
                <w:sz w:val="21"/>
                <w:szCs w:val="21"/>
              </w:rPr>
              <w:t>员工，否则本项不得分。在此基础上，按以下标准评分：</w:t>
            </w:r>
          </w:p>
          <w:p w14:paraId="2101729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1.专职驻场工程师（1人）要求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20分</w:t>
            </w:r>
            <w:r>
              <w:rPr>
                <w:rFonts w:hint="eastAsia" w:ascii="宋体" w:hAnsi="宋体" w:eastAsia="宋体" w:cs="宋体"/>
                <w:sz w:val="21"/>
                <w:szCs w:val="21"/>
                <w:lang w:eastAsia="zh-CN"/>
              </w:rPr>
              <w:t>）</w:t>
            </w:r>
            <w:r>
              <w:rPr>
                <w:rFonts w:hint="eastAsia" w:ascii="宋体" w:hAnsi="宋体" w:eastAsia="宋体" w:cs="宋体"/>
                <w:sz w:val="21"/>
                <w:szCs w:val="21"/>
              </w:rPr>
              <w:t>：</w:t>
            </w:r>
          </w:p>
          <w:p w14:paraId="5753820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具有</w:t>
            </w:r>
            <w:r>
              <w:rPr>
                <w:rFonts w:hint="eastAsia" w:ascii="宋体" w:hAnsi="宋体" w:eastAsia="宋体" w:cs="宋体"/>
                <w:sz w:val="21"/>
                <w:szCs w:val="21"/>
              </w:rPr>
              <w:t>政府部门</w:t>
            </w:r>
            <w:r>
              <w:rPr>
                <w:rFonts w:hint="eastAsia" w:ascii="宋体" w:hAnsi="宋体" w:eastAsia="宋体" w:cs="宋体"/>
                <w:sz w:val="21"/>
                <w:szCs w:val="21"/>
                <w:lang w:eastAsia="zh-CN"/>
              </w:rPr>
              <w:t>或事业单位</w:t>
            </w:r>
            <w:r>
              <w:rPr>
                <w:rFonts w:hint="eastAsia" w:ascii="宋体" w:hAnsi="宋体" w:eastAsia="宋体" w:cs="宋体"/>
                <w:sz w:val="21"/>
                <w:szCs w:val="21"/>
              </w:rPr>
              <w:t>信息安全方面驻场工作2年及以上，得5分；</w:t>
            </w:r>
          </w:p>
          <w:p w14:paraId="74882C0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具备组织</w:t>
            </w:r>
            <w:r>
              <w:rPr>
                <w:rFonts w:hint="eastAsia" w:ascii="宋体" w:hAnsi="宋体" w:eastAsia="宋体" w:cs="宋体"/>
                <w:sz w:val="21"/>
                <w:szCs w:val="21"/>
                <w:lang w:eastAsia="zh-CN"/>
              </w:rPr>
              <w:t>网络</w:t>
            </w:r>
            <w:r>
              <w:rPr>
                <w:rFonts w:hint="eastAsia" w:ascii="宋体" w:hAnsi="宋体" w:eastAsia="宋体" w:cs="宋体"/>
                <w:sz w:val="21"/>
                <w:szCs w:val="21"/>
              </w:rPr>
              <w:t>等级保护测评</w:t>
            </w:r>
            <w:r>
              <w:rPr>
                <w:rFonts w:hint="eastAsia" w:ascii="宋体" w:hAnsi="宋体" w:eastAsia="宋体" w:cs="宋体"/>
                <w:sz w:val="21"/>
                <w:szCs w:val="21"/>
                <w:lang w:eastAsia="zh-CN"/>
              </w:rPr>
              <w:t>或</w:t>
            </w:r>
            <w:r>
              <w:rPr>
                <w:rFonts w:hint="eastAsia" w:ascii="宋体" w:hAnsi="宋体" w:eastAsia="宋体" w:cs="宋体"/>
                <w:sz w:val="21"/>
                <w:szCs w:val="21"/>
              </w:rPr>
              <w:t>网络安全检查工作经验，得5分；</w:t>
            </w:r>
          </w:p>
          <w:p w14:paraId="4F8A1D2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具备注册信息安全专业人员认证（CISP）或信息安全保障人员认证（CISAW）证书</w:t>
            </w:r>
            <w:r>
              <w:rPr>
                <w:rFonts w:hint="eastAsia" w:ascii="宋体" w:hAnsi="宋体" w:eastAsia="宋体" w:cs="宋体"/>
                <w:sz w:val="21"/>
                <w:szCs w:val="21"/>
                <w:lang w:eastAsia="zh-CN"/>
              </w:rPr>
              <w:t>，</w:t>
            </w:r>
            <w:r>
              <w:rPr>
                <w:rFonts w:hint="eastAsia" w:ascii="宋体" w:hAnsi="宋体" w:eastAsia="宋体" w:cs="宋体"/>
                <w:sz w:val="21"/>
                <w:szCs w:val="21"/>
              </w:rPr>
              <w:t>得10分</w:t>
            </w:r>
            <w:r>
              <w:rPr>
                <w:rFonts w:hint="eastAsia" w:ascii="宋体" w:hAnsi="宋体" w:eastAsia="宋体" w:cs="宋体"/>
                <w:sz w:val="21"/>
                <w:szCs w:val="21"/>
                <w:lang w:eastAsia="zh-CN"/>
              </w:rPr>
              <w:t>。</w:t>
            </w:r>
          </w:p>
          <w:p w14:paraId="707AABAA">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2.安全服务专家团队成员（不超过2人）要求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80分</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14:paraId="4AF8AAC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（1）项目咨询专家（1</w:t>
            </w:r>
            <w:r>
              <w:rPr>
                <w:rFonts w:hint="eastAsia" w:ascii="宋体" w:hAnsi="宋体" w:eastAsia="宋体" w:cs="宋体"/>
                <w:sz w:val="21"/>
                <w:szCs w:val="21"/>
                <w:lang w:val="en-US" w:eastAsia="zh-CN"/>
              </w:rPr>
              <w:t>人</w:t>
            </w:r>
            <w:r>
              <w:rPr>
                <w:rFonts w:hint="eastAsia" w:ascii="宋体" w:hAnsi="宋体" w:eastAsia="宋体" w:cs="宋体"/>
                <w:sz w:val="21"/>
                <w:szCs w:val="21"/>
              </w:rPr>
              <w:t>）要求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30分</w:t>
            </w:r>
            <w:r>
              <w:rPr>
                <w:rFonts w:hint="eastAsia" w:ascii="宋体" w:hAnsi="宋体" w:eastAsia="宋体" w:cs="宋体"/>
                <w:sz w:val="21"/>
                <w:szCs w:val="21"/>
                <w:lang w:eastAsia="zh-CN"/>
              </w:rPr>
              <w:t>）</w:t>
            </w:r>
            <w:r>
              <w:rPr>
                <w:rFonts w:hint="eastAsia" w:ascii="宋体" w:hAnsi="宋体" w:eastAsia="宋体" w:cs="宋体"/>
                <w:sz w:val="21"/>
                <w:szCs w:val="21"/>
              </w:rPr>
              <w:t>：</w:t>
            </w:r>
          </w:p>
          <w:p w14:paraId="4875064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 xml:space="preserve">① </w:t>
            </w:r>
            <w:r>
              <w:rPr>
                <w:rFonts w:hint="eastAsia" w:ascii="宋体" w:hAnsi="宋体" w:eastAsia="宋体" w:cs="宋体"/>
                <w:sz w:val="21"/>
                <w:szCs w:val="21"/>
              </w:rPr>
              <w:t>具有注册信息系统安全专业认证（CISSP）证</w:t>
            </w:r>
            <w:r>
              <w:rPr>
                <w:rFonts w:hint="eastAsia" w:ascii="宋体" w:hAnsi="宋体" w:eastAsia="宋体" w:cs="宋体"/>
                <w:sz w:val="21"/>
                <w:szCs w:val="21"/>
                <w:lang w:val="en-US" w:eastAsia="zh-CN"/>
              </w:rPr>
              <w:t>书，得15分；</w:t>
            </w:r>
          </w:p>
          <w:p w14:paraId="52D84FA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② </w:t>
            </w:r>
            <w:r>
              <w:rPr>
                <w:rFonts w:hint="eastAsia" w:ascii="宋体" w:hAnsi="宋体" w:eastAsia="宋体" w:cs="宋体"/>
                <w:sz w:val="21"/>
                <w:szCs w:val="21"/>
              </w:rPr>
              <w:t>具有零信任专家认证（CZTP）</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得15分。</w:t>
            </w:r>
          </w:p>
          <w:p w14:paraId="018C8BF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（2）项目攻防专家（1</w:t>
            </w:r>
            <w:r>
              <w:rPr>
                <w:rFonts w:hint="eastAsia" w:ascii="宋体" w:hAnsi="宋体" w:eastAsia="宋体" w:cs="宋体"/>
                <w:sz w:val="21"/>
                <w:szCs w:val="21"/>
                <w:lang w:val="en-US" w:eastAsia="zh-CN"/>
              </w:rPr>
              <w:t>人</w:t>
            </w:r>
            <w:r>
              <w:rPr>
                <w:rFonts w:hint="eastAsia" w:ascii="宋体" w:hAnsi="宋体" w:eastAsia="宋体" w:cs="宋体"/>
                <w:sz w:val="21"/>
                <w:szCs w:val="21"/>
              </w:rPr>
              <w:t>）要求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50分</w:t>
            </w:r>
            <w:r>
              <w:rPr>
                <w:rFonts w:hint="eastAsia" w:ascii="宋体" w:hAnsi="宋体" w:eastAsia="宋体" w:cs="宋体"/>
                <w:sz w:val="21"/>
                <w:szCs w:val="21"/>
                <w:lang w:eastAsia="zh-CN"/>
              </w:rPr>
              <w:t>）</w:t>
            </w:r>
            <w:r>
              <w:rPr>
                <w:rFonts w:hint="eastAsia" w:ascii="宋体" w:hAnsi="宋体" w:eastAsia="宋体" w:cs="宋体"/>
                <w:sz w:val="21"/>
                <w:szCs w:val="21"/>
              </w:rPr>
              <w:t>：</w:t>
            </w:r>
          </w:p>
          <w:p w14:paraId="751CEDC6">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 具有注册渗透测试专家（CISP-PTS）认证证书或注册信息系统安全专业（CISSP）认证证书，得15分；</w:t>
            </w:r>
          </w:p>
          <w:p w14:paraId="5E33FAD8">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 具有数据安全专家（CDSP）认证证书或数据安全评估师认证证书，得15分；</w:t>
            </w:r>
          </w:p>
          <w:p w14:paraId="50930FD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③ </w:t>
            </w:r>
            <w:r>
              <w:rPr>
                <w:rFonts w:hint="eastAsia" w:ascii="宋体" w:hAnsi="宋体" w:eastAsia="宋体" w:cs="宋体"/>
                <w:sz w:val="21"/>
                <w:szCs w:val="21"/>
              </w:rPr>
              <w:t>在国家信息安全漏洞共享平台(CNVD)提交原创漏洞</w:t>
            </w:r>
            <w:r>
              <w:rPr>
                <w:rFonts w:hint="eastAsia" w:ascii="宋体" w:hAnsi="宋体" w:eastAsia="宋体" w:cs="宋体"/>
                <w:sz w:val="21"/>
                <w:szCs w:val="21"/>
                <w:lang w:val="en-US" w:eastAsia="zh-CN"/>
              </w:rPr>
              <w:t>10</w:t>
            </w:r>
            <w:r>
              <w:rPr>
                <w:rFonts w:hint="eastAsia" w:ascii="宋体" w:hAnsi="宋体" w:eastAsia="宋体" w:cs="宋体"/>
                <w:sz w:val="21"/>
                <w:szCs w:val="21"/>
              </w:rPr>
              <w:t>个及以上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得20分</w:t>
            </w:r>
            <w:r>
              <w:rPr>
                <w:rFonts w:hint="eastAsia" w:ascii="宋体" w:hAnsi="宋体" w:eastAsia="宋体" w:cs="宋体"/>
                <w:sz w:val="21"/>
                <w:szCs w:val="21"/>
              </w:rPr>
              <w:t>。</w:t>
            </w:r>
          </w:p>
          <w:p w14:paraId="42429CAC">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rPr>
              <w:t>以上累计最高得100分。</w:t>
            </w:r>
          </w:p>
          <w:p w14:paraId="5B5AD94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021CFB46">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141AFE8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提供项目团队成员通过投标单位缴纳的载有社保部门或税务部门公章的近三个月内</w:t>
            </w:r>
            <w:r>
              <w:rPr>
                <w:rFonts w:hint="eastAsia" w:ascii="宋体" w:hAnsi="宋体" w:eastAsia="宋体" w:cs="宋体"/>
                <w:sz w:val="21"/>
                <w:szCs w:val="21"/>
                <w:lang w:eastAsia="zh-CN"/>
              </w:rPr>
              <w:t>任意一个月</w:t>
            </w:r>
            <w:r>
              <w:rPr>
                <w:rFonts w:hint="eastAsia" w:ascii="宋体" w:hAnsi="宋体" w:eastAsia="宋体" w:cs="宋体"/>
                <w:sz w:val="21"/>
                <w:szCs w:val="21"/>
              </w:rPr>
              <w:t>的个人社保证明，如供应商为新成立单位且成立时间不足</w:t>
            </w:r>
            <w:r>
              <w:rPr>
                <w:rFonts w:hint="eastAsia" w:ascii="宋体" w:hAnsi="宋体" w:eastAsia="宋体" w:cs="宋体"/>
                <w:sz w:val="21"/>
                <w:szCs w:val="21"/>
                <w:lang w:val="en-US" w:eastAsia="zh-CN"/>
              </w:rPr>
              <w:t>一</w:t>
            </w:r>
            <w:r>
              <w:rPr>
                <w:rFonts w:hint="eastAsia" w:ascii="宋体" w:hAnsi="宋体" w:eastAsia="宋体" w:cs="宋体"/>
                <w:sz w:val="21"/>
                <w:szCs w:val="21"/>
              </w:rPr>
              <w:t>个月的，可提供加盖公章的情况说明或者证明材料亦视为符合。如为退休返聘人员则提供劳动合同或返聘协议；</w:t>
            </w:r>
          </w:p>
          <w:p w14:paraId="0F6805A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提供以上有效证书</w:t>
            </w:r>
            <w:r>
              <w:rPr>
                <w:rFonts w:hint="eastAsia" w:ascii="宋体" w:hAnsi="宋体" w:eastAsia="宋体" w:cs="宋体"/>
                <w:sz w:val="21"/>
                <w:szCs w:val="21"/>
                <w:lang w:val="en-US" w:eastAsia="zh-CN"/>
              </w:rPr>
              <w:t>作为评分依据</w:t>
            </w:r>
            <w:r>
              <w:rPr>
                <w:rFonts w:hint="eastAsia" w:ascii="宋体" w:hAnsi="宋体" w:eastAsia="宋体" w:cs="宋体"/>
                <w:sz w:val="21"/>
                <w:szCs w:val="21"/>
              </w:rPr>
              <w:t>；</w:t>
            </w:r>
          </w:p>
          <w:p w14:paraId="08179363">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 xml:space="preserve">3.涉及考察人员工作经验的，要求提供项目合同关键信息或项目过程文件作为评分依据，通过上述材料无法判断是否得分的，还需同时提供合同甲方出具的证明文件； </w:t>
            </w:r>
          </w:p>
          <w:p w14:paraId="3D32B4E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4.涉及</w:t>
            </w:r>
            <w:r>
              <w:rPr>
                <w:rFonts w:hint="eastAsia" w:ascii="宋体" w:hAnsi="宋体" w:eastAsia="宋体" w:cs="宋体"/>
                <w:sz w:val="21"/>
                <w:szCs w:val="21"/>
              </w:rPr>
              <w:t>原创漏洞</w:t>
            </w:r>
            <w:r>
              <w:rPr>
                <w:rFonts w:hint="eastAsia" w:ascii="宋体" w:hAnsi="宋体" w:eastAsia="宋体" w:cs="宋体"/>
                <w:sz w:val="21"/>
                <w:szCs w:val="21"/>
                <w:lang w:eastAsia="zh-CN"/>
              </w:rPr>
              <w:t>的，</w:t>
            </w:r>
            <w:r>
              <w:rPr>
                <w:rFonts w:hint="eastAsia" w:ascii="宋体" w:hAnsi="宋体" w:eastAsia="宋体" w:cs="宋体"/>
                <w:sz w:val="21"/>
                <w:szCs w:val="21"/>
                <w:lang w:val="en-US" w:eastAsia="zh-CN"/>
              </w:rPr>
              <w:t>以国家信息安全漏洞共享平台（CNVD）原创漏洞证明作为评分依据；</w:t>
            </w:r>
          </w:p>
          <w:p w14:paraId="487AEA2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kern w:val="0"/>
                <w:sz w:val="21"/>
                <w:szCs w:val="21"/>
              </w:rPr>
              <w:t>提供</w:t>
            </w:r>
            <w:r>
              <w:rPr>
                <w:rFonts w:hint="eastAsia" w:ascii="宋体" w:hAnsi="宋体" w:eastAsia="宋体" w:cs="宋体"/>
                <w:sz w:val="21"/>
                <w:szCs w:val="21"/>
              </w:rPr>
              <w:t>以上证明文件</w:t>
            </w:r>
            <w:r>
              <w:rPr>
                <w:rFonts w:hint="eastAsia" w:ascii="宋体" w:hAnsi="宋体" w:eastAsia="宋体" w:cs="宋体"/>
                <w:kern w:val="0"/>
                <w:sz w:val="21"/>
                <w:szCs w:val="21"/>
              </w:rPr>
              <w:t>扫描件，</w:t>
            </w:r>
            <w:r>
              <w:rPr>
                <w:rFonts w:hint="eastAsia" w:ascii="宋体" w:hAnsi="宋体" w:eastAsia="宋体" w:cs="宋体"/>
                <w:sz w:val="21"/>
                <w:szCs w:val="21"/>
              </w:rPr>
              <w:t>如涉及网站截图或照片等证明材料,需提供清晰图片。未按要求提供有效证明材料或提供不清晰导致评委无法识别的不计得分。</w:t>
            </w:r>
          </w:p>
        </w:tc>
      </w:tr>
      <w:tr w14:paraId="14D22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46A8983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0E48E69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商务</w:t>
            </w:r>
          </w:p>
        </w:tc>
        <w:tc>
          <w:tcPr>
            <w:tcW w:w="4763" w:type="dxa"/>
            <w:tcBorders>
              <w:top w:val="single" w:color="000000" w:sz="8" w:space="0"/>
              <w:left w:val="single" w:color="000000" w:sz="8" w:space="0"/>
              <w:bottom w:val="single" w:color="000000" w:sz="8" w:space="0"/>
              <w:right w:val="single" w:color="000000" w:sz="8" w:space="0"/>
            </w:tcBorders>
          </w:tcPr>
          <w:p w14:paraId="346A444D">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30</w:t>
            </w:r>
          </w:p>
        </w:tc>
      </w:tr>
      <w:tr w14:paraId="178E60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E990306">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5A3D09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C31AF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539C2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69AA32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378CB7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5" w:hRule="atLeast"/>
          <w:jc w:val="center"/>
        </w:trPr>
        <w:tc>
          <w:tcPr>
            <w:tcW w:w="0" w:type="auto"/>
            <w:vMerge w:val="continue"/>
            <w:tcBorders>
              <w:left w:val="single" w:color="000000" w:sz="8" w:space="0"/>
              <w:right w:val="single" w:color="000000" w:sz="8" w:space="0"/>
            </w:tcBorders>
            <w:vAlign w:val="center"/>
          </w:tcPr>
          <w:p w14:paraId="07958686">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D4AC3A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0506C4D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投标人体系认证情况</w:t>
            </w:r>
          </w:p>
        </w:tc>
        <w:tc>
          <w:tcPr>
            <w:tcW w:w="681" w:type="dxa"/>
            <w:tcBorders>
              <w:top w:val="single" w:color="000000" w:sz="8" w:space="0"/>
              <w:left w:val="single" w:color="000000" w:sz="8" w:space="0"/>
              <w:bottom w:val="single" w:color="000000" w:sz="8" w:space="0"/>
              <w:right w:val="single" w:color="000000" w:sz="8" w:space="0"/>
            </w:tcBorders>
          </w:tcPr>
          <w:p w14:paraId="444EDC5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763" w:type="dxa"/>
            <w:tcBorders>
              <w:top w:val="single" w:color="000000" w:sz="8" w:space="0"/>
              <w:left w:val="single" w:color="000000" w:sz="8" w:space="0"/>
              <w:bottom w:val="single" w:color="000000" w:sz="8" w:space="0"/>
              <w:right w:val="single" w:color="000000" w:sz="8" w:space="0"/>
            </w:tcBorders>
          </w:tcPr>
          <w:p w14:paraId="09339943">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（一）评分内容：</w:t>
            </w:r>
          </w:p>
          <w:p w14:paraId="1FB2FE28">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1.投标人具有质量管理体系认证证书的</w:t>
            </w:r>
            <w:r>
              <w:rPr>
                <w:rFonts w:hint="eastAsia" w:ascii="宋体" w:hAnsi="宋体" w:eastAsia="宋体" w:cs="宋体"/>
                <w:sz w:val="21"/>
                <w:szCs w:val="21"/>
                <w:lang w:val="en-US" w:eastAsia="zh-CN"/>
              </w:rPr>
              <w:t>，</w:t>
            </w:r>
            <w:r>
              <w:rPr>
                <w:rFonts w:hint="eastAsia" w:ascii="宋体" w:hAnsi="宋体" w:eastAsia="宋体" w:cs="宋体"/>
                <w:sz w:val="21"/>
                <w:szCs w:val="21"/>
                <w:lang w:val="en-US"/>
              </w:rPr>
              <w:t>得</w:t>
            </w:r>
            <w:r>
              <w:rPr>
                <w:rFonts w:hint="eastAsia" w:ascii="宋体" w:hAnsi="宋体" w:eastAsia="宋体" w:cs="宋体"/>
                <w:sz w:val="21"/>
                <w:szCs w:val="21"/>
                <w:lang w:val="en-US" w:eastAsia="zh-CN"/>
              </w:rPr>
              <w:t>10分；</w:t>
            </w:r>
          </w:p>
          <w:p w14:paraId="784A6B01">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rPr>
              <w:t>.投标人具</w:t>
            </w:r>
            <w:r>
              <w:rPr>
                <w:rFonts w:hint="eastAsia" w:ascii="宋体" w:hAnsi="宋体" w:eastAsia="宋体" w:cs="宋体"/>
                <w:sz w:val="21"/>
                <w:szCs w:val="21"/>
                <w:lang w:val="en-US" w:eastAsia="zh-CN"/>
              </w:rPr>
              <w:t>有</w:t>
            </w:r>
            <w:r>
              <w:rPr>
                <w:rFonts w:hint="eastAsia" w:ascii="宋体" w:hAnsi="宋体" w:eastAsia="宋体" w:cs="宋体"/>
                <w:sz w:val="21"/>
                <w:szCs w:val="21"/>
                <w:lang w:val="en-US"/>
              </w:rPr>
              <w:t>供应链安全管理体系认证证书的，得30分；</w:t>
            </w:r>
          </w:p>
          <w:p w14:paraId="1CCCE46B">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val="en-US"/>
              </w:rPr>
              <w:t>.投标人具有业务连续性管理体系认证证书的，得30分</w:t>
            </w:r>
            <w:r>
              <w:rPr>
                <w:rFonts w:hint="eastAsia" w:ascii="宋体" w:hAnsi="宋体" w:eastAsia="宋体" w:cs="宋体"/>
                <w:sz w:val="21"/>
                <w:szCs w:val="21"/>
                <w:lang w:val="en-US" w:eastAsia="zh-CN"/>
              </w:rPr>
              <w:t>；</w:t>
            </w:r>
          </w:p>
          <w:p w14:paraId="3C822605">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4.投标人具有</w:t>
            </w:r>
            <w:r>
              <w:rPr>
                <w:rFonts w:hint="eastAsia" w:ascii="宋体" w:hAnsi="宋体" w:eastAsia="宋体" w:cs="宋体"/>
                <w:sz w:val="21"/>
                <w:szCs w:val="21"/>
                <w:lang w:val="en-US"/>
              </w:rPr>
              <w:t>中国软件评测中心和</w:t>
            </w:r>
            <w:r>
              <w:rPr>
                <w:rFonts w:hint="eastAsia" w:ascii="宋体" w:hAnsi="宋体" w:eastAsia="宋体" w:cs="宋体"/>
                <w:sz w:val="21"/>
                <w:szCs w:val="21"/>
                <w:lang w:val="en-US" w:eastAsia="zh-CN"/>
              </w:rPr>
              <w:t>中国计算机行业协会数据安全专业委员会联合颁发的数据安全服务能力评定资格-数据安全建设能力二级证书的，得30分。</w:t>
            </w:r>
          </w:p>
          <w:p w14:paraId="3F3ED2C0">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eastAsia="zh-CN"/>
              </w:rPr>
              <w:t>注：</w:t>
            </w:r>
            <w:r>
              <w:rPr>
                <w:rFonts w:hint="eastAsia" w:ascii="宋体" w:hAnsi="宋体" w:eastAsia="宋体" w:cs="宋体"/>
                <w:sz w:val="21"/>
                <w:szCs w:val="21"/>
                <w:lang w:val="en-US"/>
              </w:rPr>
              <w:t>以上累计最高得100分。</w:t>
            </w:r>
          </w:p>
          <w:p w14:paraId="6DF3CF66">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rPr>
            </w:pPr>
          </w:p>
          <w:p w14:paraId="30597BCC">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（二）评分依据：</w:t>
            </w:r>
          </w:p>
          <w:p w14:paraId="520A3733">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rPr>
            </w:pPr>
            <w:r>
              <w:rPr>
                <w:rFonts w:hint="eastAsia" w:ascii="宋体" w:hAnsi="宋体" w:eastAsia="宋体" w:cs="宋体"/>
                <w:sz w:val="21"/>
                <w:szCs w:val="21"/>
                <w:lang w:val="en-US"/>
              </w:rPr>
              <w:t>1.提供有效证书（如认证证书注明年审要求的，必须按规定年审且证书在有效期内的方为有效；如未注明年审要求的，证书必须在有效期内的方为有效）</w:t>
            </w:r>
            <w:r>
              <w:rPr>
                <w:rFonts w:hint="eastAsia" w:ascii="宋体" w:hAnsi="宋体" w:eastAsia="宋体" w:cs="宋体"/>
                <w:sz w:val="21"/>
                <w:szCs w:val="21"/>
                <w:lang w:val="en-US" w:eastAsia="zh-CN"/>
              </w:rPr>
              <w:t>作为得分依据</w:t>
            </w:r>
            <w:r>
              <w:rPr>
                <w:rFonts w:hint="eastAsia" w:ascii="宋体" w:hAnsi="宋体" w:eastAsia="宋体" w:cs="宋体"/>
                <w:sz w:val="21"/>
                <w:szCs w:val="21"/>
                <w:lang w:val="en-US"/>
              </w:rPr>
              <w:t>；</w:t>
            </w:r>
          </w:p>
          <w:p w14:paraId="38A37C85">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2.认证证书还需同时</w:t>
            </w:r>
            <w:r>
              <w:rPr>
                <w:rFonts w:hint="eastAsia" w:ascii="宋体" w:hAnsi="宋体" w:eastAsia="宋体" w:cs="宋体"/>
                <w:sz w:val="21"/>
                <w:szCs w:val="21"/>
                <w:lang w:val="en-US"/>
              </w:rPr>
              <w:t>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r>
              <w:rPr>
                <w:rFonts w:hint="eastAsia" w:ascii="宋体" w:hAnsi="宋体" w:eastAsia="宋体" w:cs="宋体"/>
                <w:sz w:val="21"/>
                <w:szCs w:val="21"/>
                <w:lang w:val="en-US" w:eastAsia="zh-CN"/>
              </w:rPr>
              <w:t>；</w:t>
            </w:r>
          </w:p>
          <w:p w14:paraId="6E1F7001">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3.涉及认证证书的，如</w:t>
            </w:r>
            <w:r>
              <w:rPr>
                <w:rFonts w:hint="eastAsia" w:ascii="宋体" w:hAnsi="宋体" w:eastAsia="宋体" w:cs="宋体"/>
                <w:sz w:val="21"/>
                <w:szCs w:val="21"/>
                <w:lang w:val="en-US"/>
              </w:rPr>
              <w:t>投标人成立时间不足三个月，可提供情况说明作为佐证材料，无需提供</w:t>
            </w:r>
            <w:r>
              <w:rPr>
                <w:rFonts w:hint="eastAsia" w:ascii="宋体" w:hAnsi="宋体" w:eastAsia="宋体" w:cs="宋体"/>
                <w:sz w:val="21"/>
                <w:szCs w:val="21"/>
                <w:lang w:val="en-US" w:eastAsia="zh-CN"/>
              </w:rPr>
              <w:t>认证</w:t>
            </w:r>
            <w:r>
              <w:rPr>
                <w:rFonts w:hint="eastAsia" w:ascii="宋体" w:hAnsi="宋体" w:eastAsia="宋体" w:cs="宋体"/>
                <w:sz w:val="21"/>
                <w:szCs w:val="21"/>
                <w:lang w:val="en-US"/>
              </w:rPr>
              <w:t>证书和认证信息查询截图亦视为满足评分要求</w:t>
            </w:r>
            <w:r>
              <w:rPr>
                <w:rFonts w:hint="eastAsia" w:ascii="宋体" w:hAnsi="宋体" w:eastAsia="宋体" w:cs="宋体"/>
                <w:sz w:val="21"/>
                <w:szCs w:val="21"/>
                <w:lang w:val="en-US" w:eastAsia="zh-CN"/>
              </w:rPr>
              <w:t>；</w:t>
            </w:r>
          </w:p>
          <w:p w14:paraId="28FDB5CE">
            <w:pPr>
              <w:keepNext w:val="0"/>
              <w:keepLines w:val="0"/>
              <w:pageBreakBefore w:val="0"/>
              <w:kinsoku/>
              <w:wordWrap/>
              <w:overflowPunct/>
              <w:topLinePunct w:val="0"/>
              <w:bidi w:val="0"/>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4.提供以上证明文件扫描件，如涉及网站截图或照片等证明材料,需提供清晰图片。未按要求提供有效证明材料或提供不清晰导致评委无法识别的不计得分。</w:t>
            </w:r>
          </w:p>
        </w:tc>
      </w:tr>
      <w:tr w14:paraId="27701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94" w:hRule="atLeast"/>
          <w:jc w:val="center"/>
        </w:trPr>
        <w:tc>
          <w:tcPr>
            <w:tcW w:w="0" w:type="auto"/>
            <w:vMerge w:val="continue"/>
            <w:tcBorders>
              <w:left w:val="single" w:color="000000" w:sz="8" w:space="0"/>
              <w:right w:val="single" w:color="000000" w:sz="8" w:space="0"/>
            </w:tcBorders>
            <w:vAlign w:val="center"/>
          </w:tcPr>
          <w:p w14:paraId="2C49E3F4">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42BA8FFE">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050E37F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同类项目业绩情况</w:t>
            </w:r>
          </w:p>
        </w:tc>
        <w:tc>
          <w:tcPr>
            <w:tcW w:w="681" w:type="dxa"/>
            <w:tcBorders>
              <w:top w:val="single" w:color="000000" w:sz="8" w:space="0"/>
              <w:left w:val="single" w:color="000000" w:sz="8" w:space="0"/>
              <w:bottom w:val="single" w:color="000000" w:sz="8" w:space="0"/>
              <w:right w:val="single" w:color="000000" w:sz="8" w:space="0"/>
            </w:tcBorders>
          </w:tcPr>
          <w:p w14:paraId="10D8BAC6">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4763" w:type="dxa"/>
            <w:tcBorders>
              <w:top w:val="single" w:color="000000" w:sz="8" w:space="0"/>
              <w:left w:val="single" w:color="000000" w:sz="8" w:space="0"/>
              <w:bottom w:val="single" w:color="000000" w:sz="8" w:space="0"/>
              <w:right w:val="single" w:color="000000" w:sz="8" w:space="0"/>
            </w:tcBorders>
          </w:tcPr>
          <w:p w14:paraId="4DADC85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E97B39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2021年1月1日起至本项目投标截止之日（以合同签署时间为准）</w:t>
            </w:r>
            <w:r>
              <w:rPr>
                <w:rFonts w:hint="eastAsia" w:ascii="宋体" w:hAnsi="宋体" w:eastAsia="宋体" w:cs="宋体"/>
                <w:sz w:val="21"/>
                <w:szCs w:val="21"/>
                <w:lang w:eastAsia="zh-CN"/>
              </w:rPr>
              <w:t>，</w:t>
            </w:r>
            <w:r>
              <w:rPr>
                <w:rFonts w:hint="eastAsia" w:ascii="宋体" w:hAnsi="宋体" w:eastAsia="宋体" w:cs="宋体"/>
                <w:sz w:val="21"/>
                <w:szCs w:val="21"/>
              </w:rPr>
              <w:t>投标人承担过政府部门</w:t>
            </w:r>
            <w:r>
              <w:rPr>
                <w:rFonts w:hint="eastAsia" w:ascii="宋体" w:hAnsi="宋体" w:eastAsia="宋体" w:cs="宋体"/>
                <w:sz w:val="21"/>
                <w:szCs w:val="21"/>
                <w:lang w:eastAsia="zh-CN"/>
              </w:rPr>
              <w:t>或事业单位</w:t>
            </w:r>
            <w:r>
              <w:rPr>
                <w:rFonts w:hint="eastAsia" w:ascii="宋体" w:hAnsi="宋体" w:eastAsia="宋体" w:cs="宋体"/>
                <w:sz w:val="21"/>
                <w:szCs w:val="21"/>
              </w:rPr>
              <w:t>信息安全服务项目</w:t>
            </w:r>
            <w:r>
              <w:rPr>
                <w:rFonts w:hint="eastAsia" w:ascii="宋体" w:hAnsi="宋体" w:eastAsia="宋体" w:cs="宋体"/>
                <w:sz w:val="21"/>
                <w:szCs w:val="21"/>
                <w:lang w:eastAsia="zh-CN"/>
              </w:rPr>
              <w:t>的，</w:t>
            </w:r>
            <w:r>
              <w:rPr>
                <w:rFonts w:hint="eastAsia" w:ascii="宋体" w:hAnsi="宋体" w:eastAsia="宋体" w:cs="宋体"/>
                <w:sz w:val="21"/>
                <w:szCs w:val="21"/>
              </w:rPr>
              <w:t>每提供一个</w:t>
            </w:r>
            <w:r>
              <w:rPr>
                <w:rFonts w:hint="eastAsia" w:ascii="宋体" w:hAnsi="宋体" w:eastAsia="宋体" w:cs="宋体"/>
                <w:sz w:val="21"/>
                <w:szCs w:val="21"/>
                <w:lang w:val="en-US" w:eastAsia="zh-CN"/>
              </w:rPr>
              <w:t>项目</w:t>
            </w:r>
            <w:r>
              <w:rPr>
                <w:rFonts w:hint="eastAsia" w:ascii="宋体" w:hAnsi="宋体" w:eastAsia="宋体" w:cs="宋体"/>
                <w:sz w:val="21"/>
                <w:szCs w:val="21"/>
              </w:rPr>
              <w:t>得20分，最高得100分。同一项目合同续签不重复得分。</w:t>
            </w:r>
          </w:p>
          <w:p w14:paraId="35BD637B">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56C31231">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7D4DB9A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提供合同关键页（包含但不限于合同首页、采购内容、签订时间、双方全称及公章），通过合同关键信息无法判断是否得分的，还需提供能证明得分的其它证明资料，如项目报告或合同甲方出具的证明文件；分包项目合同</w:t>
            </w:r>
            <w:r>
              <w:rPr>
                <w:rFonts w:hint="eastAsia" w:ascii="宋体" w:hAnsi="宋体" w:eastAsia="宋体" w:cs="宋体"/>
                <w:sz w:val="21"/>
                <w:szCs w:val="21"/>
                <w:lang w:val="en-US" w:eastAsia="zh-CN"/>
              </w:rPr>
              <w:t>不予认可；</w:t>
            </w:r>
          </w:p>
          <w:p w14:paraId="3D030285">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提供以上证明文件扫描件，如涉及网站截图或照片等证明材料,需提供清晰图片。未按要求提供有效证明材料或提供不清晰导致评委无法识别的不计得分。</w:t>
            </w:r>
          </w:p>
        </w:tc>
      </w:tr>
      <w:tr w14:paraId="3FD92B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0117C66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524AD7F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2835" w:type="dxa"/>
            <w:tcBorders>
              <w:top w:val="single" w:color="000000" w:sz="8" w:space="0"/>
              <w:left w:val="single" w:color="000000" w:sz="8" w:space="0"/>
              <w:bottom w:val="single" w:color="000000" w:sz="8" w:space="0"/>
              <w:right w:val="single" w:color="000000" w:sz="8" w:space="0"/>
            </w:tcBorders>
          </w:tcPr>
          <w:p w14:paraId="752EC3F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zh-CN"/>
              </w:rPr>
              <w:t>获奖（荣誉）情况</w:t>
            </w:r>
          </w:p>
        </w:tc>
        <w:tc>
          <w:tcPr>
            <w:tcW w:w="681" w:type="dxa"/>
            <w:tcBorders>
              <w:top w:val="single" w:color="000000" w:sz="8" w:space="0"/>
              <w:left w:val="single" w:color="000000" w:sz="8" w:space="0"/>
              <w:bottom w:val="single" w:color="000000" w:sz="8" w:space="0"/>
              <w:right w:val="single" w:color="000000" w:sz="8" w:space="0"/>
            </w:tcBorders>
          </w:tcPr>
          <w:p w14:paraId="52B996B4">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4763" w:type="dxa"/>
            <w:tcBorders>
              <w:top w:val="single" w:color="000000" w:sz="8" w:space="0"/>
              <w:left w:val="single" w:color="000000" w:sz="8" w:space="0"/>
              <w:bottom w:val="single" w:color="000000" w:sz="8" w:space="0"/>
              <w:right w:val="single" w:color="000000" w:sz="8" w:space="0"/>
            </w:tcBorders>
          </w:tcPr>
          <w:p w14:paraId="0AE2B2CD">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889EC1E">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1.202</w:t>
            </w:r>
            <w:r>
              <w:rPr>
                <w:rFonts w:hint="eastAsia" w:ascii="宋体" w:hAnsi="宋体" w:eastAsia="宋体" w:cs="宋体"/>
                <w:sz w:val="21"/>
                <w:szCs w:val="21"/>
                <w:lang w:val="en-US" w:eastAsia="zh-CN"/>
              </w:rPr>
              <w:t>1</w:t>
            </w:r>
            <w:r>
              <w:rPr>
                <w:rFonts w:hint="eastAsia" w:ascii="宋体" w:hAnsi="宋体" w:eastAsia="宋体" w:cs="宋体"/>
                <w:sz w:val="21"/>
                <w:szCs w:val="21"/>
              </w:rPr>
              <w:t>年1月1日至本项目投标截止日（以证书颁发日期为准），投标人</w:t>
            </w:r>
            <w:r>
              <w:rPr>
                <w:rFonts w:hint="eastAsia" w:ascii="宋体" w:hAnsi="宋体" w:eastAsia="宋体" w:cs="宋体"/>
                <w:sz w:val="21"/>
                <w:szCs w:val="21"/>
                <w:lang w:val="en-US" w:eastAsia="zh-CN"/>
              </w:rPr>
              <w:t>获得</w:t>
            </w:r>
            <w:r>
              <w:rPr>
                <w:rFonts w:hint="eastAsia" w:ascii="宋体" w:hAnsi="宋体" w:eastAsia="宋体" w:cs="宋体"/>
                <w:sz w:val="21"/>
                <w:szCs w:val="21"/>
              </w:rPr>
              <w:t>网络安全攻防演练保障服务类（包括攻防演习</w:t>
            </w:r>
            <w:r>
              <w:rPr>
                <w:rFonts w:hint="eastAsia" w:ascii="宋体" w:hAnsi="宋体" w:eastAsia="宋体" w:cs="宋体"/>
                <w:sz w:val="21"/>
                <w:szCs w:val="21"/>
                <w:lang w:eastAsia="zh-CN"/>
              </w:rPr>
              <w:t>或</w:t>
            </w:r>
            <w:r>
              <w:rPr>
                <w:rFonts w:hint="eastAsia" w:ascii="宋体" w:hAnsi="宋体" w:eastAsia="宋体" w:cs="宋体"/>
                <w:sz w:val="21"/>
                <w:szCs w:val="21"/>
              </w:rPr>
              <w:t>攻防演练</w:t>
            </w:r>
            <w:r>
              <w:rPr>
                <w:rFonts w:hint="eastAsia" w:ascii="宋体" w:hAnsi="宋体" w:eastAsia="宋体" w:cs="宋体"/>
                <w:sz w:val="21"/>
                <w:szCs w:val="21"/>
                <w:lang w:eastAsia="zh-CN"/>
              </w:rPr>
              <w:t>或</w:t>
            </w:r>
            <w:r>
              <w:rPr>
                <w:rFonts w:hint="eastAsia" w:ascii="宋体" w:hAnsi="宋体" w:eastAsia="宋体" w:cs="宋体"/>
                <w:sz w:val="21"/>
                <w:szCs w:val="21"/>
              </w:rPr>
              <w:t>应急演练）市级及以上奖项</w:t>
            </w:r>
            <w:r>
              <w:rPr>
                <w:rFonts w:hint="eastAsia" w:ascii="宋体" w:hAnsi="宋体" w:eastAsia="宋体" w:cs="宋体"/>
                <w:sz w:val="21"/>
                <w:szCs w:val="21"/>
                <w:lang w:eastAsia="zh-CN"/>
              </w:rPr>
              <w:t>或荣誉</w:t>
            </w:r>
            <w:r>
              <w:rPr>
                <w:rFonts w:hint="eastAsia" w:ascii="宋体" w:hAnsi="宋体" w:eastAsia="宋体" w:cs="宋体"/>
                <w:sz w:val="21"/>
                <w:szCs w:val="21"/>
              </w:rPr>
              <w:t>的，每提供一个得10分，最高得</w:t>
            </w:r>
            <w:r>
              <w:rPr>
                <w:rFonts w:hint="eastAsia" w:ascii="宋体" w:hAnsi="宋体" w:eastAsia="宋体" w:cs="宋体"/>
                <w:sz w:val="21"/>
                <w:szCs w:val="21"/>
                <w:lang w:val="en-US" w:eastAsia="zh-CN"/>
              </w:rPr>
              <w:t>8</w:t>
            </w:r>
            <w:r>
              <w:rPr>
                <w:rFonts w:hint="eastAsia" w:ascii="宋体" w:hAnsi="宋体" w:eastAsia="宋体" w:cs="宋体"/>
                <w:sz w:val="21"/>
                <w:szCs w:val="21"/>
              </w:rPr>
              <w:t>0分</w:t>
            </w:r>
            <w:r>
              <w:rPr>
                <w:rFonts w:hint="eastAsia" w:ascii="宋体" w:hAnsi="宋体" w:eastAsia="宋体" w:cs="宋体"/>
                <w:sz w:val="21"/>
                <w:szCs w:val="21"/>
                <w:lang w:eastAsia="zh-CN"/>
              </w:rPr>
              <w:t>；</w:t>
            </w:r>
          </w:p>
          <w:p w14:paraId="0E8FC2C4">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2.202</w:t>
            </w:r>
            <w:r>
              <w:rPr>
                <w:rFonts w:hint="eastAsia" w:ascii="宋体" w:hAnsi="宋体" w:eastAsia="宋体" w:cs="宋体"/>
                <w:sz w:val="21"/>
                <w:szCs w:val="21"/>
                <w:lang w:val="en-US" w:eastAsia="zh-CN"/>
              </w:rPr>
              <w:t>1</w:t>
            </w:r>
            <w:r>
              <w:rPr>
                <w:rFonts w:hint="eastAsia" w:ascii="宋体" w:hAnsi="宋体" w:eastAsia="宋体" w:cs="宋体"/>
                <w:sz w:val="21"/>
                <w:szCs w:val="21"/>
              </w:rPr>
              <w:t>年1月1日至本项目投标截止日（以证书颁发日期为准），投标人获得</w:t>
            </w:r>
            <w:r>
              <w:rPr>
                <w:rFonts w:hint="eastAsia" w:ascii="宋体" w:hAnsi="宋体" w:eastAsia="宋体" w:cs="宋体"/>
                <w:sz w:val="21"/>
                <w:szCs w:val="21"/>
                <w:lang w:eastAsia="zh-CN"/>
              </w:rPr>
              <w:t>市级及以上</w:t>
            </w:r>
            <w:r>
              <w:rPr>
                <w:rFonts w:hint="eastAsia" w:ascii="宋体" w:hAnsi="宋体" w:eastAsia="宋体" w:cs="宋体"/>
                <w:sz w:val="21"/>
                <w:szCs w:val="21"/>
              </w:rPr>
              <w:t>网络安全或数据安全相关奖项或荣誉的，得</w:t>
            </w:r>
            <w:r>
              <w:rPr>
                <w:rFonts w:hint="eastAsia" w:ascii="宋体" w:hAnsi="宋体" w:eastAsia="宋体" w:cs="宋体"/>
                <w:sz w:val="21"/>
                <w:szCs w:val="21"/>
                <w:lang w:val="en-US" w:eastAsia="zh-CN"/>
              </w:rPr>
              <w:t>2</w:t>
            </w:r>
            <w:r>
              <w:rPr>
                <w:rFonts w:hint="eastAsia" w:ascii="宋体" w:hAnsi="宋体" w:eastAsia="宋体" w:cs="宋体"/>
                <w:sz w:val="21"/>
                <w:szCs w:val="21"/>
              </w:rPr>
              <w:t>0分。</w:t>
            </w:r>
          </w:p>
          <w:p w14:paraId="72841EE2">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注：国家级奖项要求颁发单位为国务院或国家部委，省级奖项要求颁发单位为省级（含自治区、直辖市）人民政府（或行业主管行政机关），含副省级</w:t>
            </w:r>
            <w:r>
              <w:rPr>
                <w:rFonts w:hint="eastAsia" w:ascii="宋体" w:hAnsi="宋体" w:eastAsia="宋体" w:cs="宋体"/>
                <w:sz w:val="21"/>
                <w:szCs w:val="21"/>
                <w:lang w:val="en-US" w:eastAsia="zh-CN"/>
              </w:rPr>
              <w:t>城市</w:t>
            </w:r>
            <w:r>
              <w:rPr>
                <w:rFonts w:hint="eastAsia" w:ascii="宋体" w:hAnsi="宋体" w:eastAsia="宋体" w:cs="宋体"/>
                <w:sz w:val="21"/>
                <w:szCs w:val="21"/>
              </w:rPr>
              <w:t>；市级奖项要求颁发单位为市级人民政府（或行业主管行政机关）。</w:t>
            </w:r>
          </w:p>
          <w:p w14:paraId="6593030C">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p>
          <w:p w14:paraId="2837C1B7">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3954C470">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1.要求提供奖项照片或获奖（荣誉）证书作为得分依据； </w:t>
            </w:r>
          </w:p>
          <w:p w14:paraId="2E1FFBEF">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提供以上证明文件扫描件，如涉及网站截图或照片等证明材料,需提供清晰图片。未按要求提供有效证明材料或提供不清晰导致评委无法识别的不计得分。</w:t>
            </w:r>
          </w:p>
        </w:tc>
      </w:tr>
      <w:tr w14:paraId="0DF56F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5D1AC3A">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37FB74E7">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835" w:type="dxa"/>
            <w:tcBorders>
              <w:top w:val="single" w:color="000000" w:sz="8" w:space="0"/>
              <w:left w:val="single" w:color="000000" w:sz="8" w:space="0"/>
              <w:bottom w:val="single" w:color="000000" w:sz="8" w:space="0"/>
              <w:right w:val="single" w:color="000000" w:sz="8" w:space="0"/>
            </w:tcBorders>
          </w:tcPr>
          <w:p w14:paraId="08564F3F">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zh-CN"/>
              </w:rPr>
              <w:t>投标人自主知识产权产品（创新、设计）情况</w:t>
            </w:r>
          </w:p>
        </w:tc>
        <w:tc>
          <w:tcPr>
            <w:tcW w:w="681" w:type="dxa"/>
            <w:tcBorders>
              <w:top w:val="single" w:color="000000" w:sz="8" w:space="0"/>
              <w:left w:val="single" w:color="000000" w:sz="8" w:space="0"/>
              <w:bottom w:val="single" w:color="000000" w:sz="8" w:space="0"/>
              <w:right w:val="single" w:color="000000" w:sz="8" w:space="0"/>
            </w:tcBorders>
          </w:tcPr>
          <w:p w14:paraId="6A8C9425">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4763" w:type="dxa"/>
            <w:tcBorders>
              <w:top w:val="single" w:color="000000" w:sz="8" w:space="0"/>
              <w:left w:val="single" w:color="000000" w:sz="8" w:space="0"/>
              <w:bottom w:val="single" w:color="000000" w:sz="8" w:space="0"/>
              <w:right w:val="single" w:color="000000" w:sz="8" w:space="0"/>
            </w:tcBorders>
          </w:tcPr>
          <w:p w14:paraId="027DE39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20043DA">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投标人具</w:t>
            </w:r>
            <w:r>
              <w:rPr>
                <w:rFonts w:hint="eastAsia" w:ascii="宋体" w:hAnsi="宋体" w:eastAsia="宋体" w:cs="宋体"/>
                <w:sz w:val="21"/>
                <w:szCs w:val="21"/>
                <w:lang w:val="en-US" w:eastAsia="zh-CN"/>
              </w:rPr>
              <w:t>有</w:t>
            </w:r>
            <w:r>
              <w:rPr>
                <w:rFonts w:hint="eastAsia" w:ascii="宋体" w:hAnsi="宋体" w:eastAsia="宋体" w:cs="宋体"/>
                <w:sz w:val="21"/>
                <w:szCs w:val="21"/>
                <w:lang w:eastAsia="zh-CN"/>
              </w:rPr>
              <w:t>自行开发或购买</w:t>
            </w:r>
            <w:r>
              <w:rPr>
                <w:rFonts w:hint="eastAsia" w:ascii="宋体" w:hAnsi="宋体" w:eastAsia="宋体" w:cs="宋体"/>
                <w:sz w:val="21"/>
                <w:szCs w:val="21"/>
              </w:rPr>
              <w:t>的服务工具，包括：</w:t>
            </w:r>
          </w:p>
          <w:p w14:paraId="2456BDF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（1）漏洞扫描工具；</w:t>
            </w:r>
          </w:p>
          <w:p w14:paraId="0AE9501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（2）威胁监测工具；</w:t>
            </w:r>
          </w:p>
          <w:p w14:paraId="017C1DF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（3）自动化渗透测试工具；</w:t>
            </w:r>
          </w:p>
          <w:p w14:paraId="2CA9E3A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（4）代码安全检测工具</w:t>
            </w:r>
            <w:r>
              <w:rPr>
                <w:rFonts w:hint="eastAsia" w:ascii="宋体" w:hAnsi="宋体" w:eastAsia="宋体" w:cs="宋体"/>
                <w:sz w:val="21"/>
                <w:szCs w:val="21"/>
                <w:lang w:eastAsia="zh-CN"/>
              </w:rPr>
              <w:t>。</w:t>
            </w:r>
          </w:p>
          <w:p w14:paraId="188E43B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每提供</w:t>
            </w:r>
            <w:r>
              <w:rPr>
                <w:rFonts w:hint="eastAsia" w:ascii="宋体" w:hAnsi="宋体" w:eastAsia="宋体" w:cs="宋体"/>
                <w:sz w:val="21"/>
                <w:szCs w:val="21"/>
                <w:lang w:val="en-US" w:eastAsia="zh-CN"/>
              </w:rPr>
              <w:t>以上</w:t>
            </w:r>
            <w:r>
              <w:rPr>
                <w:rFonts w:hint="eastAsia" w:ascii="宋体" w:hAnsi="宋体" w:eastAsia="宋体" w:cs="宋体"/>
                <w:sz w:val="21"/>
                <w:szCs w:val="21"/>
              </w:rPr>
              <w:t>1种</w:t>
            </w:r>
            <w:r>
              <w:rPr>
                <w:rFonts w:hint="eastAsia" w:ascii="宋体" w:hAnsi="宋体" w:eastAsia="宋体" w:cs="宋体"/>
                <w:sz w:val="21"/>
                <w:szCs w:val="21"/>
                <w:lang w:val="en-US" w:eastAsia="zh-CN"/>
              </w:rPr>
              <w:t>服务</w:t>
            </w:r>
            <w:r>
              <w:rPr>
                <w:rFonts w:hint="eastAsia" w:ascii="宋体" w:hAnsi="宋体" w:eastAsia="宋体" w:cs="宋体"/>
                <w:sz w:val="21"/>
                <w:szCs w:val="21"/>
              </w:rPr>
              <w:t>工具得</w:t>
            </w:r>
            <w:r>
              <w:rPr>
                <w:rFonts w:hint="eastAsia" w:ascii="宋体" w:hAnsi="宋体" w:eastAsia="宋体" w:cs="宋体"/>
                <w:sz w:val="21"/>
                <w:szCs w:val="21"/>
                <w:lang w:val="en-US" w:eastAsia="zh-CN"/>
              </w:rPr>
              <w:t>25</w:t>
            </w:r>
            <w:r>
              <w:rPr>
                <w:rFonts w:hint="eastAsia" w:ascii="宋体" w:hAnsi="宋体" w:eastAsia="宋体" w:cs="宋体"/>
                <w:sz w:val="21"/>
                <w:szCs w:val="21"/>
              </w:rPr>
              <w:t>分，本项最高得</w:t>
            </w:r>
            <w:r>
              <w:rPr>
                <w:rFonts w:hint="eastAsia" w:ascii="宋体" w:hAnsi="宋体" w:eastAsia="宋体" w:cs="宋体"/>
                <w:sz w:val="21"/>
                <w:szCs w:val="21"/>
                <w:lang w:val="en-US" w:eastAsia="zh-CN"/>
              </w:rPr>
              <w:t>100</w:t>
            </w:r>
            <w:r>
              <w:rPr>
                <w:rFonts w:hint="eastAsia" w:ascii="宋体" w:hAnsi="宋体" w:eastAsia="宋体" w:cs="宋体"/>
                <w:sz w:val="21"/>
                <w:szCs w:val="21"/>
              </w:rPr>
              <w:t>分。</w:t>
            </w:r>
          </w:p>
          <w:p w14:paraId="7D0C26B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p>
          <w:p w14:paraId="539AD04C">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0BC13CF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1.如为</w:t>
            </w:r>
            <w:r>
              <w:rPr>
                <w:rFonts w:hint="eastAsia" w:ascii="宋体" w:hAnsi="宋体" w:eastAsia="宋体" w:cs="宋体"/>
                <w:sz w:val="21"/>
                <w:szCs w:val="21"/>
                <w:lang w:val="en-US" w:eastAsia="zh-CN"/>
              </w:rPr>
              <w:t>自行开发</w:t>
            </w:r>
            <w:r>
              <w:rPr>
                <w:rFonts w:hint="eastAsia" w:ascii="宋体" w:hAnsi="宋体" w:eastAsia="宋体" w:cs="宋体"/>
                <w:sz w:val="21"/>
                <w:szCs w:val="21"/>
              </w:rPr>
              <w:t>的服务工具，提供产权证明（软件著作权登记证书或专利证书）；</w:t>
            </w:r>
          </w:p>
          <w:p w14:paraId="53645A9F">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如为</w:t>
            </w:r>
            <w:r>
              <w:rPr>
                <w:rFonts w:hint="eastAsia" w:ascii="宋体" w:hAnsi="宋体" w:eastAsia="宋体" w:cs="宋体"/>
                <w:sz w:val="21"/>
                <w:szCs w:val="21"/>
                <w:lang w:val="en-US" w:eastAsia="zh-CN"/>
              </w:rPr>
              <w:t>购买</w:t>
            </w:r>
            <w:r>
              <w:rPr>
                <w:rFonts w:hint="eastAsia" w:ascii="宋体" w:hAnsi="宋体" w:eastAsia="宋体" w:cs="宋体"/>
                <w:sz w:val="21"/>
                <w:szCs w:val="21"/>
              </w:rPr>
              <w:t>的服务工具，</w:t>
            </w:r>
            <w:r>
              <w:rPr>
                <w:rFonts w:hint="eastAsia" w:ascii="宋体" w:hAnsi="宋体" w:eastAsia="宋体" w:cs="宋体"/>
                <w:sz w:val="21"/>
                <w:szCs w:val="21"/>
                <w:lang w:val="en-US" w:eastAsia="zh-CN"/>
              </w:rPr>
              <w:t>同时</w:t>
            </w:r>
            <w:r>
              <w:rPr>
                <w:rFonts w:hint="eastAsia" w:ascii="宋体" w:hAnsi="宋体" w:eastAsia="宋体" w:cs="宋体"/>
                <w:sz w:val="21"/>
                <w:szCs w:val="21"/>
              </w:rPr>
              <w:t>提供购买合同（合同须体现签署方为投标人）、发票及产权证明（软件著作权登记证书或专利证书）</w:t>
            </w:r>
            <w:r>
              <w:rPr>
                <w:rFonts w:hint="eastAsia" w:ascii="宋体" w:hAnsi="宋体" w:eastAsia="宋体" w:cs="宋体"/>
                <w:sz w:val="21"/>
                <w:szCs w:val="21"/>
                <w:lang w:eastAsia="zh-CN"/>
              </w:rPr>
              <w:t>；</w:t>
            </w:r>
          </w:p>
          <w:p w14:paraId="017A95CF">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.提供以上证明文件扫描件，如涉及网站截图或照片等证明材料,需提供清晰图片,原件备查。未按要求提供有效证明材料或提供不清晰导致评委无法识别的不计得分。</w:t>
            </w:r>
          </w:p>
        </w:tc>
      </w:tr>
      <w:tr w14:paraId="496BCF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4E920BEC">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5FFA0BB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其他</w:t>
            </w:r>
          </w:p>
        </w:tc>
        <w:tc>
          <w:tcPr>
            <w:tcW w:w="4763" w:type="dxa"/>
            <w:tcBorders>
              <w:top w:val="single" w:color="000000" w:sz="8" w:space="0"/>
              <w:left w:val="single" w:color="000000" w:sz="8" w:space="0"/>
              <w:bottom w:val="single" w:color="000000" w:sz="8" w:space="0"/>
              <w:right w:val="single" w:color="000000" w:sz="8" w:space="0"/>
            </w:tcBorders>
          </w:tcPr>
          <w:p w14:paraId="693F1DE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w:t>
            </w:r>
          </w:p>
        </w:tc>
      </w:tr>
      <w:tr w14:paraId="4092B5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6F553A39">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CC47F8F">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B1698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84D21C1">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47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E747E19">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评分准则</w:t>
            </w:r>
          </w:p>
        </w:tc>
      </w:tr>
      <w:tr w14:paraId="123D8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40527E8F">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tcPr>
          <w:p w14:paraId="0B629433">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2BCE6C42">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681" w:type="dxa"/>
            <w:tcBorders>
              <w:top w:val="single" w:color="000000" w:sz="8" w:space="0"/>
              <w:left w:val="single" w:color="000000" w:sz="8" w:space="0"/>
              <w:bottom w:val="single" w:color="000000" w:sz="8" w:space="0"/>
              <w:right w:val="single" w:color="000000" w:sz="8" w:space="0"/>
            </w:tcBorders>
          </w:tcPr>
          <w:p w14:paraId="22B7AE62">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4763" w:type="dxa"/>
            <w:tcBorders>
              <w:top w:val="single" w:color="000000" w:sz="8" w:space="0"/>
              <w:left w:val="single" w:color="000000" w:sz="8" w:space="0"/>
              <w:bottom w:val="single" w:color="000000" w:sz="8" w:space="0"/>
              <w:right w:val="single" w:color="000000" w:sz="8" w:space="0"/>
            </w:tcBorders>
          </w:tcPr>
          <w:p w14:paraId="269F44F4">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100分。</w:t>
            </w:r>
          </w:p>
          <w:p w14:paraId="77652777">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r>
    </w:tbl>
    <w:p w14:paraId="0D8FD066"/>
    <w:p w14:paraId="10A48FF4"/>
    <w:p w14:paraId="2BD9F4DF">
      <w:pPr>
        <w:widowControl/>
        <w:jc w:val="left"/>
        <w:rPr>
          <w:rFonts w:asciiTheme="minorEastAsia" w:hAnsiTheme="minorEastAsia" w:eastAsiaTheme="minorEastAsia"/>
          <w:b/>
          <w:bCs/>
          <w:kern w:val="44"/>
          <w:sz w:val="28"/>
          <w:szCs w:val="44"/>
        </w:rPr>
      </w:pPr>
      <w:r>
        <w:rPr>
          <w:rFonts w:asciiTheme="minorEastAsia" w:hAnsiTheme="minorEastAsia" w:eastAsiaTheme="minorEastAsia"/>
        </w:rPr>
        <w:br w:type="page"/>
      </w:r>
    </w:p>
    <w:p w14:paraId="124B4B54">
      <w:pPr>
        <w:pStyle w:val="3"/>
        <w:spacing w:before="0" w:after="0"/>
        <w:rPr>
          <w:rFonts w:asciiTheme="minorEastAsia" w:hAnsiTheme="minorEastAsia" w:eastAsiaTheme="minorEastAsia"/>
        </w:rPr>
      </w:pPr>
      <w:r>
        <w:rPr>
          <w:rFonts w:hint="eastAsia" w:asciiTheme="minorEastAsia" w:hAnsiTheme="minorEastAsia" w:eastAsiaTheme="minorEastAsia"/>
        </w:rPr>
        <w:t>其它关键信息</w:t>
      </w:r>
    </w:p>
    <w:p w14:paraId="0BD9FFFB">
      <w:pPr>
        <w:spacing w:line="360" w:lineRule="auto"/>
        <w:ind w:firstLine="413" w:firstLineChars="196"/>
        <w:rPr>
          <w:rFonts w:ascii="宋体" w:hAnsi="宋体"/>
          <w:szCs w:val="21"/>
        </w:rPr>
      </w:pPr>
      <w:r>
        <w:rPr>
          <w:rFonts w:hint="eastAsia" w:ascii="宋体" w:hAnsi="宋体"/>
          <w:b/>
          <w:szCs w:val="21"/>
        </w:rPr>
        <w:t>一</w:t>
      </w:r>
      <w:r>
        <w:rPr>
          <w:rFonts w:hint="eastAsia" w:asciiTheme="minorEastAsia" w:hAnsiTheme="minorEastAsia" w:eastAsiaTheme="minorEastAsia"/>
          <w:b/>
          <w:szCs w:val="21"/>
        </w:rPr>
        <w:t>、</w:t>
      </w:r>
      <w:r>
        <w:rPr>
          <w:rFonts w:hint="eastAsia"/>
          <w:b/>
          <w:szCs w:val="21"/>
        </w:rPr>
        <w:t>评标定标信息</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5"/>
      </w:tblGrid>
      <w:tr w14:paraId="3ADF9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325D781D">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是否评标定标分离</w:t>
            </w:r>
          </w:p>
        </w:tc>
        <w:tc>
          <w:tcPr>
            <w:tcW w:w="4265" w:type="dxa"/>
          </w:tcPr>
          <w:p w14:paraId="3DAA2EA6">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非评定分离</w:t>
            </w:r>
          </w:p>
        </w:tc>
      </w:tr>
      <w:tr w14:paraId="1F4C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2CFA434">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定标方法</w:t>
            </w:r>
          </w:p>
        </w:tc>
        <w:tc>
          <w:tcPr>
            <w:tcW w:w="4265" w:type="dxa"/>
          </w:tcPr>
          <w:p w14:paraId="2638ACD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w:t>
            </w:r>
          </w:p>
        </w:tc>
      </w:tr>
      <w:tr w14:paraId="5436D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54CD614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评标方法</w:t>
            </w:r>
          </w:p>
        </w:tc>
        <w:tc>
          <w:tcPr>
            <w:tcW w:w="4265" w:type="dxa"/>
          </w:tcPr>
          <w:p w14:paraId="6BE43E3E">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综合评分法</w:t>
            </w:r>
          </w:p>
        </w:tc>
      </w:tr>
      <w:tr w14:paraId="771DE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451FD8E3">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中标供应商家数</w:t>
            </w:r>
          </w:p>
        </w:tc>
        <w:tc>
          <w:tcPr>
            <w:tcW w:w="4265" w:type="dxa"/>
          </w:tcPr>
          <w:p w14:paraId="0A5F8C0D">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1</w:t>
            </w:r>
          </w:p>
        </w:tc>
      </w:tr>
      <w:tr w14:paraId="60BB0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64" w:type="dxa"/>
          </w:tcPr>
          <w:p w14:paraId="701AE1E0">
            <w:pPr>
              <w:spacing w:after="60"/>
              <w:jc w:val="center"/>
              <w:rPr>
                <w:rFonts w:asciiTheme="minorEastAsia" w:hAnsiTheme="minorEastAsia" w:eastAsiaTheme="minorEastAsia"/>
                <w:szCs w:val="21"/>
              </w:rPr>
            </w:pPr>
            <w:r>
              <w:rPr>
                <w:rFonts w:hint="eastAsia" w:asciiTheme="minorEastAsia" w:hAnsiTheme="minorEastAsia" w:eastAsiaTheme="minorEastAsia"/>
                <w:szCs w:val="21"/>
              </w:rPr>
              <w:t>候选中标供应商家数</w:t>
            </w:r>
          </w:p>
        </w:tc>
        <w:tc>
          <w:tcPr>
            <w:tcW w:w="4265" w:type="dxa"/>
          </w:tcPr>
          <w:p w14:paraId="7429EDA2">
            <w:pPr>
              <w:spacing w:after="6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2</w:t>
            </w:r>
          </w:p>
        </w:tc>
      </w:tr>
    </w:tbl>
    <w:p w14:paraId="7C1743F2">
      <w:pPr>
        <w:spacing w:line="360" w:lineRule="auto"/>
        <w:ind w:firstLine="411" w:firstLineChars="196"/>
        <w:rPr>
          <w:rFonts w:ascii="宋体" w:hAnsi="宋体"/>
        </w:rPr>
      </w:pPr>
    </w:p>
    <w:p w14:paraId="7CA40743">
      <w:pPr>
        <w:spacing w:line="360" w:lineRule="auto"/>
        <w:ind w:firstLine="413" w:firstLineChars="196"/>
        <w:rPr>
          <w:rFonts w:ascii="宋体" w:hAnsi="宋体"/>
          <w:b/>
          <w:szCs w:val="21"/>
        </w:rPr>
      </w:pPr>
      <w:r>
        <w:rPr>
          <w:rFonts w:hint="eastAsia" w:ascii="宋体" w:hAnsi="宋体"/>
          <w:b/>
          <w:szCs w:val="21"/>
        </w:rPr>
        <w:t>二</w:t>
      </w:r>
      <w:r>
        <w:rPr>
          <w:rFonts w:hint="eastAsia" w:asciiTheme="minorEastAsia" w:hAnsiTheme="minorEastAsia" w:eastAsiaTheme="minorEastAsia"/>
          <w:b/>
          <w:szCs w:val="21"/>
        </w:rPr>
        <w:t>、</w:t>
      </w:r>
      <w:r>
        <w:rPr>
          <w:rFonts w:hint="eastAsia" w:ascii="宋体" w:hAnsi="宋体"/>
          <w:b/>
          <w:szCs w:val="21"/>
        </w:rPr>
        <w:t>报价明显偏低的合理性说明</w:t>
      </w:r>
    </w:p>
    <w:p w14:paraId="1AFEF965">
      <w:pPr>
        <w:spacing w:line="360" w:lineRule="auto"/>
        <w:ind w:firstLine="420" w:firstLineChars="200"/>
        <w:rPr>
          <w:rFonts w:ascii="宋体" w:hAnsi="宋体"/>
          <w:szCs w:val="21"/>
        </w:rPr>
      </w:pP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hAns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8372B76">
      <w:pPr>
        <w:spacing w:line="360" w:lineRule="auto"/>
        <w:ind w:firstLine="420" w:firstLineChars="200"/>
        <w:rPr>
          <w:rFonts w:ascii="宋体" w:hAnsi="宋体"/>
          <w:szCs w:val="21"/>
        </w:rPr>
      </w:pPr>
    </w:p>
    <w:p w14:paraId="07125C0A">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szCs w:val="21"/>
        </w:rPr>
        <w:t>三、</w:t>
      </w:r>
      <w:r>
        <w:rPr>
          <w:rFonts w:hint="eastAsia" w:asciiTheme="minorEastAsia" w:hAnsiTheme="minorEastAsia" w:eastAsiaTheme="minorEastAsia"/>
          <w:b/>
          <w:bCs/>
        </w:rPr>
        <w:t>关于享受政府采购扶持政策的主体及价格扣除比例</w:t>
      </w:r>
    </w:p>
    <w:p w14:paraId="5B3CAE75">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软件和信息技术服务业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321A0CFD">
      <w:pPr>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（二）价格评审优惠</w:t>
      </w:r>
    </w:p>
    <w:p w14:paraId="0F599429">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hAnsi="宋体"/>
          <w:szCs w:val="24"/>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4D749400">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szCs w:val="24"/>
        </w:rPr>
        <w:t>未</w:t>
      </w:r>
      <w:r>
        <w:rPr>
          <w:rFonts w:hint="eastAsia" w:hAnsi="宋体"/>
          <w:szCs w:val="24"/>
        </w:rPr>
        <w:t>预留份额专门面向中小企业采购的采购项目或采购包</w:t>
      </w:r>
      <w:r>
        <w:rPr>
          <w:rFonts w:hint="eastAsia" w:asciiTheme="minorEastAsia" w:hAnsiTheme="minorEastAsia" w:eastAsiaTheme="minorEastAsia"/>
          <w:szCs w:val="21"/>
        </w:rPr>
        <w:t>：</w:t>
      </w:r>
    </w:p>
    <w:p w14:paraId="4F3F8E03">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rPr>
        <w:t>其投标报价扣除</w:t>
      </w:r>
      <w:r>
        <w:rPr>
          <w:rFonts w:hint="eastAsia" w:asciiTheme="minorEastAsia" w:hAnsiTheme="minorEastAsia" w:eastAsiaTheme="minorEastAsia"/>
          <w:b/>
          <w:u w:val="single"/>
        </w:rPr>
        <w:t xml:space="preserve"> 10 </w:t>
      </w:r>
      <w:r>
        <w:rPr>
          <w:rFonts w:hint="eastAsia" w:asciiTheme="minorEastAsia" w:hAnsiTheme="minorEastAsia" w:eastAsiaTheme="minorEastAsia"/>
          <w:b/>
        </w:rPr>
        <w:t>%（请在10%-20%范围内选择）后参与评审</w:t>
      </w:r>
      <w:r>
        <w:rPr>
          <w:rFonts w:hint="eastAsia" w:asciiTheme="minorEastAsia" w:hAnsiTheme="minorEastAsia" w:eastAsiaTheme="minorEastAsia"/>
        </w:rPr>
        <w:t>。</w:t>
      </w:r>
    </w:p>
    <w:p w14:paraId="3FCF6D0C">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（2）联合协议中约定，小型、微型企业的协议合同金额占到联合体协议合同总金额30%以上的，可给予</w:t>
      </w:r>
      <w:r>
        <w:rPr>
          <w:rFonts w:hint="eastAsia" w:asciiTheme="minorEastAsia" w:hAnsiTheme="minorEastAsia" w:eastAsiaTheme="minorEastAsia"/>
          <w:b/>
        </w:rPr>
        <w:t>联合体</w:t>
      </w:r>
      <w:r>
        <w:rPr>
          <w:rFonts w:hint="eastAsia" w:asciiTheme="minorEastAsia" w:hAnsiTheme="minorEastAsia" w:eastAsiaTheme="minorEastAsia"/>
          <w:b/>
          <w:u w:val="single"/>
        </w:rPr>
        <w:t xml:space="preserve"> /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r>
        <w:rPr>
          <w:rFonts w:hint="eastAsia" w:asciiTheme="minorEastAsia" w:hAnsiTheme="minorEastAsia" w:eastAsiaTheme="minorEastAsia"/>
        </w:rPr>
        <w:t>。如联合体各方均为小型、微型企业，联合体视同为小型、微型企业，享受</w:t>
      </w:r>
      <w:r>
        <w:rPr>
          <w:rFonts w:hint="eastAsia" w:asciiTheme="minorEastAsia" w:hAnsiTheme="minorEastAsia" w:eastAsiaTheme="minorEastAsia"/>
          <w:b/>
        </w:rPr>
        <w:t>第（1）项</w:t>
      </w:r>
      <w:r>
        <w:rPr>
          <w:rFonts w:hint="eastAsia" w:asciiTheme="minorEastAsia" w:hAnsiTheme="minorEastAsia" w:eastAsiaTheme="minorEastAsia"/>
        </w:rPr>
        <w:t>的评审优惠。</w:t>
      </w:r>
    </w:p>
    <w:p w14:paraId="3FB09241">
      <w:pPr>
        <w:spacing w:after="60" w:line="360" w:lineRule="auto"/>
        <w:ind w:firstLine="424" w:firstLineChars="202"/>
        <w:rPr>
          <w:rFonts w:ascii="宋体" w:hAnsi="宋体"/>
        </w:rPr>
      </w:pPr>
      <w:r>
        <w:rPr>
          <w:rFonts w:hint="eastAsia" w:ascii="宋体" w:hAnsi="宋体"/>
        </w:rPr>
        <w:t>（3）分包意向协议约定，小型、微型企业的协议合同金额占到合同总金额30%以上的，可给予投标人</w:t>
      </w:r>
      <w:r>
        <w:rPr>
          <w:rFonts w:hint="eastAsia" w:ascii="宋体" w:hAnsi="宋体"/>
          <w:b/>
          <w:u w:val="single"/>
        </w:rPr>
        <w:t xml:space="preserve">  </w:t>
      </w:r>
      <w:r>
        <w:rPr>
          <w:rFonts w:hint="eastAsia" w:asciiTheme="minorEastAsia" w:hAnsiTheme="minorEastAsia" w:eastAsiaTheme="minorEastAsia"/>
          <w:b/>
          <w:u w:val="single"/>
        </w:rPr>
        <w:t xml:space="preserve">/  </w:t>
      </w:r>
      <w:r>
        <w:rPr>
          <w:rFonts w:hint="eastAsia" w:asciiTheme="minorEastAsia" w:hAnsiTheme="minorEastAsia" w:eastAsiaTheme="minorEastAsia"/>
          <w:b/>
        </w:rPr>
        <w:t>%</w:t>
      </w:r>
      <w:r>
        <w:rPr>
          <w:rFonts w:asciiTheme="minorEastAsia" w:hAnsiTheme="minorEastAsia" w:eastAsiaTheme="minorEastAsia"/>
          <w:b/>
        </w:rPr>
        <w:t xml:space="preserve"> </w:t>
      </w:r>
      <w:r>
        <w:rPr>
          <w:rFonts w:hint="eastAsia" w:asciiTheme="minorEastAsia" w:hAnsiTheme="minorEastAsia" w:eastAsiaTheme="minorEastAsia"/>
          <w:b/>
        </w:rPr>
        <w:t>（请在4</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w:t>
      </w:r>
      <w:r>
        <w:rPr>
          <w:rFonts w:hint="eastAsia" w:asciiTheme="minorEastAsia" w:hAnsiTheme="minorEastAsia" w:eastAsiaTheme="minorEastAsia"/>
          <w:b/>
        </w:rPr>
        <w:t>范围内选择）</w:t>
      </w:r>
      <w:r>
        <w:rPr>
          <w:rFonts w:hint="eastAsia" w:asciiTheme="minorEastAsia" w:hAnsiTheme="minorEastAsia" w:eastAsiaTheme="minorEastAsia"/>
        </w:rPr>
        <w:t>的价格扣除</w:t>
      </w:r>
      <w:r>
        <w:rPr>
          <w:rFonts w:hint="eastAsia" w:ascii="宋体" w:hAnsi="宋体"/>
        </w:rPr>
        <w:t>，用扣除后的价格参与评审。</w:t>
      </w:r>
    </w:p>
    <w:p w14:paraId="146D1F1A">
      <w:pPr>
        <w:spacing w:after="60" w:line="360" w:lineRule="auto"/>
        <w:ind w:firstLine="424" w:firstLineChars="202"/>
        <w:rPr>
          <w:rFonts w:ascii="宋体" w:hAnsi="宋体"/>
        </w:rPr>
      </w:pPr>
      <w:r>
        <w:rPr>
          <w:rFonts w:hint="eastAsia" w:ascii="宋体" w:hAnsi="宋体"/>
        </w:rPr>
        <w:t>（4）</w:t>
      </w:r>
      <w:r>
        <w:rPr>
          <w:rFonts w:hint="eastAsia" w:asciiTheme="minorEastAsia" w:hAnsiTheme="minorEastAsia" w:eastAsiaTheme="minorEastAsia"/>
        </w:rPr>
        <w:t>如供应商为</w:t>
      </w:r>
      <w:r>
        <w:rPr>
          <w:rFonts w:hint="eastAsia" w:hAnsi="宋体"/>
        </w:rPr>
        <w:t>监狱企业</w:t>
      </w:r>
      <w:r>
        <w:rPr>
          <w:rFonts w:hint="eastAsia" w:hAnsi="宋体"/>
          <w:szCs w:val="21"/>
        </w:rPr>
        <w:t>或残疾人福利性单位，</w:t>
      </w:r>
      <w:r>
        <w:rPr>
          <w:rFonts w:hint="eastAsia" w:hAnsi="宋体"/>
        </w:rPr>
        <w:t>视同</w:t>
      </w:r>
      <w:r>
        <w:rPr>
          <w:rFonts w:hint="eastAsia" w:asciiTheme="minorEastAsia" w:hAnsiTheme="minorEastAsia" w:eastAsiaTheme="minorEastAsia"/>
        </w:rPr>
        <w:t>小型、微型企业，</w:t>
      </w:r>
      <w:r>
        <w:rPr>
          <w:rFonts w:hint="eastAsia" w:hAnsi="宋体"/>
        </w:rPr>
        <w:t>享受以上预留份额、评审中价格扣除等政府采购促进中小企业发展的政府采购政策；</w:t>
      </w:r>
      <w:r>
        <w:rPr>
          <w:rFonts w:hint="eastAsia" w:asciiTheme="minorEastAsia" w:hAnsiTheme="minorEastAsia" w:eastAsiaTheme="minorEastAsia"/>
        </w:rPr>
        <w:t>对于同时属于小型、微型企业、监狱企业或残疾人福利性单位的供应商，不重复享受政策。</w:t>
      </w:r>
    </w:p>
    <w:p w14:paraId="6373C3BC">
      <w:pPr>
        <w:spacing w:after="60" w:line="360" w:lineRule="auto"/>
        <w:ind w:firstLine="424" w:firstLineChars="202"/>
        <w:rPr>
          <w:rFonts w:ascii="宋体" w:hAnsi="宋体"/>
        </w:rPr>
      </w:pPr>
      <w:r>
        <w:rPr>
          <w:rFonts w:hint="eastAsia" w:ascii="宋体" w:hAnsi="宋体"/>
        </w:rPr>
        <w:t>（5）优惠主体资格的认定资料为《中小企业声明函》、《残疾人福利性单位声明函》以及《监狱企业声明函》等承诺性质的资料（</w:t>
      </w:r>
      <w:r>
        <w:rPr>
          <w:rFonts w:hint="eastAsia" w:ascii="宋体" w:hAnsi="宋体" w:cs="宋体"/>
          <w:szCs w:val="21"/>
        </w:rPr>
        <w:t>格式详见招标文件第三章</w:t>
      </w:r>
      <w:r>
        <w:rPr>
          <w:rFonts w:hint="eastAsia" w:ascii="宋体" w:hAnsi="宋体"/>
        </w:rPr>
        <w:t>）；监狱企业或者代理提供监狱企业货物的供应商如需享受优惠政策，除上述资料外，还须提供省级以上监狱管理局、戒毒管理局出具的监狱企业证明文件。</w:t>
      </w:r>
    </w:p>
    <w:p w14:paraId="4BF1531F">
      <w:pPr>
        <w:spacing w:line="360" w:lineRule="auto"/>
        <w:ind w:firstLine="422" w:firstLineChars="200"/>
        <w:rPr>
          <w:rFonts w:asciiTheme="minorEastAsia" w:hAnsiTheme="minorEastAsia" w:eastAsiaTheme="minorEastAsia"/>
          <w:b/>
          <w:szCs w:val="21"/>
        </w:rPr>
      </w:pPr>
    </w:p>
    <w:p w14:paraId="12BD49F7">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ascii="Times New Roman" w:hAnsi="Times New Roman"/>
          <w:b/>
          <w:szCs w:val="24"/>
        </w:rPr>
        <w:t>绿色采购</w:t>
      </w:r>
    </w:p>
    <w:p w14:paraId="6B09A0EF">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szCs w:val="24"/>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szCs w:val="24"/>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szCs w:val="24"/>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37181E22">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3EBD7E51">
      <w:pPr>
        <w:spacing w:line="360" w:lineRule="auto"/>
        <w:rPr>
          <w:rFonts w:ascii="Times New Roman" w:hAnsi="Times New Roman"/>
          <w:b/>
          <w:bCs/>
          <w:sz w:val="24"/>
          <w:szCs w:val="24"/>
        </w:rPr>
      </w:pPr>
    </w:p>
    <w:p w14:paraId="5C810989">
      <w:pPr>
        <w:spacing w:line="360" w:lineRule="auto"/>
        <w:ind w:firstLine="422" w:firstLineChars="200"/>
        <w:rPr>
          <w:rFonts w:ascii="宋体" w:hAnsi="宋体"/>
          <w:b/>
          <w:szCs w:val="21"/>
        </w:rPr>
      </w:pPr>
      <w:r>
        <w:rPr>
          <w:rFonts w:hint="eastAsia" w:asciiTheme="minorEastAsia" w:hAnsiTheme="minorEastAsia" w:eastAsiaTheme="minorEastAsia"/>
          <w:b/>
          <w:szCs w:val="21"/>
        </w:rPr>
        <w:t>五、</w:t>
      </w:r>
      <w:r>
        <w:rPr>
          <w:rFonts w:hint="eastAsia" w:ascii="Times New Roman" w:hAnsi="Times New Roman"/>
          <w:b/>
          <w:szCs w:val="24"/>
        </w:rPr>
        <w:t>其他说明</w:t>
      </w:r>
    </w:p>
    <w:p w14:paraId="691E08D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4"/>
        </w:rPr>
        <w:t>为缓解中小企业融资难题，深圳市推出政府采购订单融资改革举措。订单融资具体流程及试点金融机构订单融资服务承诺可参阅深圳市政府采购监管网（zfcg.sz.gov.cn）政府采购订单融资栏目。</w:t>
      </w:r>
    </w:p>
    <w:p w14:paraId="3B9E8511">
      <w:pPr>
        <w:widowControl/>
        <w:jc w:val="left"/>
        <w:rPr>
          <w:rFonts w:ascii="宋体" w:hAnsi="宋体" w:eastAsia="黑体"/>
          <w:b/>
          <w:bCs/>
          <w:kern w:val="44"/>
          <w:sz w:val="28"/>
          <w:szCs w:val="44"/>
        </w:rPr>
      </w:pPr>
      <w:r>
        <w:rPr>
          <w:rFonts w:ascii="宋体" w:hAnsi="宋体" w:eastAsia="黑体"/>
          <w:b/>
          <w:bCs/>
          <w:kern w:val="44"/>
          <w:sz w:val="28"/>
          <w:szCs w:val="44"/>
        </w:rPr>
        <w:br w:type="page"/>
      </w:r>
    </w:p>
    <w:p w14:paraId="6228357C">
      <w:pPr>
        <w:keepNext/>
        <w:keepLines/>
        <w:spacing w:before="340" w:after="330" w:line="360" w:lineRule="auto"/>
        <w:jc w:val="center"/>
        <w:outlineLvl w:val="0"/>
        <w:rPr>
          <w:rFonts w:ascii="宋体" w:hAnsi="宋体" w:eastAsia="黑体"/>
          <w:b/>
          <w:bCs/>
          <w:kern w:val="44"/>
          <w:sz w:val="28"/>
          <w:szCs w:val="44"/>
        </w:rPr>
      </w:pPr>
      <w:r>
        <w:rPr>
          <w:rFonts w:hint="eastAsia" w:ascii="宋体" w:hAnsi="宋体" w:eastAsia="黑体"/>
          <w:b/>
          <w:bCs/>
          <w:kern w:val="44"/>
          <w:sz w:val="28"/>
          <w:szCs w:val="44"/>
        </w:rPr>
        <w:t>目   录</w:t>
      </w:r>
    </w:p>
    <w:p w14:paraId="06D51CBD">
      <w:pPr>
        <w:rPr>
          <w:rFonts w:ascii="Times New Roman" w:hAnsi="Times New Roman"/>
          <w:b/>
          <w:sz w:val="24"/>
          <w:szCs w:val="24"/>
        </w:rPr>
      </w:pPr>
      <w:r>
        <w:rPr>
          <w:rFonts w:hint="eastAsia" w:ascii="Times New Roman" w:hAnsi="Times New Roman"/>
          <w:b/>
          <w:sz w:val="24"/>
          <w:szCs w:val="24"/>
        </w:rPr>
        <w:t>第一册  专用条款</w:t>
      </w:r>
    </w:p>
    <w:p w14:paraId="1D73005F">
      <w:pPr>
        <w:ind w:left="630" w:leftChars="300" w:firstLine="411" w:firstLineChars="196"/>
        <w:rPr>
          <w:rFonts w:ascii="宋体" w:hAnsi="宋体"/>
          <w:szCs w:val="21"/>
        </w:rPr>
      </w:pPr>
      <w:r>
        <w:rPr>
          <w:rFonts w:hint="eastAsia" w:ascii="宋体" w:hAnsi="宋体"/>
          <w:szCs w:val="21"/>
        </w:rPr>
        <w:t>关键信息</w:t>
      </w:r>
    </w:p>
    <w:p w14:paraId="22BDD108">
      <w:pPr>
        <w:ind w:left="630" w:leftChars="300" w:firstLine="411" w:firstLineChars="196"/>
        <w:rPr>
          <w:rFonts w:ascii="宋体" w:hAnsi="宋体"/>
          <w:szCs w:val="21"/>
        </w:rPr>
      </w:pPr>
      <w:r>
        <w:rPr>
          <w:rFonts w:hint="eastAsia" w:ascii="宋体" w:hAnsi="宋体"/>
          <w:szCs w:val="21"/>
        </w:rPr>
        <w:t>第一章  招标公告</w:t>
      </w:r>
    </w:p>
    <w:p w14:paraId="13230D43">
      <w:pPr>
        <w:ind w:left="630" w:leftChars="300" w:firstLine="411" w:firstLineChars="196"/>
        <w:rPr>
          <w:rFonts w:ascii="宋体" w:hAnsi="宋体"/>
          <w:szCs w:val="21"/>
        </w:rPr>
      </w:pPr>
      <w:r>
        <w:rPr>
          <w:rFonts w:hint="eastAsia" w:ascii="宋体" w:hAnsi="宋体"/>
          <w:szCs w:val="21"/>
        </w:rPr>
        <w:t>第二章  招标项目需求</w:t>
      </w:r>
    </w:p>
    <w:p w14:paraId="1D677BCE">
      <w:pPr>
        <w:ind w:left="630" w:leftChars="300" w:firstLine="411" w:firstLineChars="196"/>
        <w:rPr>
          <w:rFonts w:ascii="宋体" w:hAnsi="宋体"/>
          <w:szCs w:val="21"/>
        </w:rPr>
      </w:pPr>
      <w:r>
        <w:rPr>
          <w:rFonts w:hint="eastAsia" w:ascii="宋体" w:hAnsi="宋体"/>
          <w:szCs w:val="21"/>
        </w:rPr>
        <w:t>第三章  投标文件格式、附件</w:t>
      </w:r>
    </w:p>
    <w:p w14:paraId="0272EB67">
      <w:pPr>
        <w:ind w:left="630" w:leftChars="300" w:firstLine="411" w:firstLineChars="196"/>
        <w:rPr>
          <w:rFonts w:ascii="宋体" w:hAnsi="宋体"/>
          <w:szCs w:val="21"/>
        </w:rPr>
      </w:pPr>
      <w:r>
        <w:rPr>
          <w:rFonts w:hint="eastAsia" w:ascii="宋体" w:hAnsi="宋体"/>
          <w:szCs w:val="21"/>
        </w:rPr>
        <w:t>第四章  合同及履约情况反馈格式</w:t>
      </w:r>
    </w:p>
    <w:p w14:paraId="726F22F4">
      <w:pPr>
        <w:ind w:left="630" w:leftChars="300" w:firstLine="411" w:firstLineChars="196"/>
        <w:rPr>
          <w:rFonts w:ascii="宋体" w:hAnsi="宋体"/>
          <w:szCs w:val="21"/>
        </w:rPr>
      </w:pPr>
      <w:r>
        <w:rPr>
          <w:rFonts w:hint="eastAsia" w:ascii="宋体" w:hAnsi="宋体"/>
          <w:szCs w:val="21"/>
        </w:rPr>
        <w:t>第五章  附件</w:t>
      </w:r>
    </w:p>
    <w:p w14:paraId="1EA22924">
      <w:pPr>
        <w:ind w:left="630" w:leftChars="300" w:firstLine="411" w:firstLineChars="196"/>
        <w:rPr>
          <w:rFonts w:ascii="宋体" w:hAnsi="宋体"/>
          <w:szCs w:val="21"/>
        </w:rPr>
      </w:pPr>
    </w:p>
    <w:p w14:paraId="7FFB57CE">
      <w:pPr>
        <w:rPr>
          <w:rFonts w:ascii="Times New Roman" w:hAnsi="Times New Roman"/>
          <w:b/>
          <w:sz w:val="24"/>
          <w:szCs w:val="24"/>
        </w:rPr>
      </w:pPr>
    </w:p>
    <w:p w14:paraId="126CCCDD">
      <w:pPr>
        <w:rPr>
          <w:rFonts w:ascii="Times New Roman" w:hAnsi="Times New Roman"/>
          <w:b/>
          <w:sz w:val="24"/>
          <w:szCs w:val="24"/>
        </w:rPr>
      </w:pPr>
      <w:r>
        <w:rPr>
          <w:rFonts w:hint="eastAsia" w:ascii="Times New Roman" w:hAnsi="Times New Roman"/>
          <w:b/>
          <w:sz w:val="24"/>
          <w:szCs w:val="24"/>
        </w:rPr>
        <w:t>第二册  通用条款</w:t>
      </w:r>
    </w:p>
    <w:p w14:paraId="47D9B35C">
      <w:pPr>
        <w:ind w:left="630" w:leftChars="300" w:firstLine="411" w:firstLineChars="196"/>
        <w:rPr>
          <w:rFonts w:ascii="宋体" w:hAnsi="宋体"/>
          <w:szCs w:val="21"/>
        </w:rPr>
      </w:pPr>
      <w:r>
        <w:rPr>
          <w:rFonts w:hint="eastAsia" w:ascii="宋体" w:hAnsi="宋体"/>
          <w:szCs w:val="21"/>
        </w:rPr>
        <w:t>第一章  总则</w:t>
      </w:r>
    </w:p>
    <w:p w14:paraId="2ED2286A">
      <w:pPr>
        <w:ind w:left="630" w:leftChars="300" w:firstLine="411" w:firstLineChars="196"/>
        <w:rPr>
          <w:rFonts w:ascii="宋体" w:hAnsi="宋体"/>
          <w:szCs w:val="21"/>
        </w:rPr>
      </w:pPr>
      <w:r>
        <w:rPr>
          <w:rFonts w:hint="eastAsia" w:ascii="宋体" w:hAnsi="宋体"/>
          <w:szCs w:val="21"/>
        </w:rPr>
        <w:t>第二章  招标文件</w:t>
      </w:r>
    </w:p>
    <w:p w14:paraId="5F60043E">
      <w:pPr>
        <w:ind w:left="630" w:leftChars="300" w:firstLine="411" w:firstLineChars="196"/>
        <w:rPr>
          <w:rFonts w:ascii="宋体" w:hAnsi="宋体"/>
          <w:szCs w:val="21"/>
        </w:rPr>
      </w:pPr>
      <w:r>
        <w:rPr>
          <w:rFonts w:hint="eastAsia" w:ascii="宋体" w:hAnsi="宋体"/>
          <w:szCs w:val="21"/>
        </w:rPr>
        <w:t>第三章  投标文件的编制</w:t>
      </w:r>
    </w:p>
    <w:p w14:paraId="133668E9">
      <w:pPr>
        <w:ind w:left="630" w:leftChars="300" w:firstLine="411" w:firstLineChars="196"/>
        <w:rPr>
          <w:rFonts w:ascii="宋体" w:hAnsi="宋体"/>
          <w:szCs w:val="21"/>
        </w:rPr>
      </w:pPr>
      <w:r>
        <w:rPr>
          <w:rFonts w:hint="eastAsia" w:ascii="宋体" w:hAnsi="宋体"/>
          <w:szCs w:val="21"/>
        </w:rPr>
        <w:t>第四章  投标文件的递交</w:t>
      </w:r>
    </w:p>
    <w:p w14:paraId="6DFA4FED">
      <w:pPr>
        <w:ind w:left="630" w:leftChars="300" w:firstLine="411" w:firstLineChars="196"/>
        <w:rPr>
          <w:rFonts w:ascii="宋体" w:hAnsi="宋体"/>
          <w:szCs w:val="21"/>
        </w:rPr>
      </w:pPr>
      <w:r>
        <w:rPr>
          <w:rFonts w:hint="eastAsia" w:ascii="宋体" w:hAnsi="宋体"/>
          <w:szCs w:val="21"/>
        </w:rPr>
        <w:t>第五章  开标</w:t>
      </w:r>
    </w:p>
    <w:p w14:paraId="5718BDBD">
      <w:pPr>
        <w:ind w:left="630" w:leftChars="300" w:firstLine="411" w:firstLineChars="196"/>
        <w:rPr>
          <w:rFonts w:ascii="宋体" w:hAnsi="宋体"/>
          <w:szCs w:val="21"/>
        </w:rPr>
      </w:pPr>
      <w:r>
        <w:rPr>
          <w:rFonts w:hint="eastAsia" w:ascii="宋体" w:hAnsi="宋体"/>
          <w:szCs w:val="21"/>
        </w:rPr>
        <w:t>第六章  评标要求</w:t>
      </w:r>
    </w:p>
    <w:p w14:paraId="5155502A">
      <w:pPr>
        <w:ind w:left="630" w:leftChars="300" w:firstLine="411" w:firstLineChars="196"/>
        <w:rPr>
          <w:rFonts w:ascii="宋体" w:hAnsi="宋体"/>
          <w:szCs w:val="21"/>
        </w:rPr>
      </w:pPr>
      <w:r>
        <w:rPr>
          <w:rFonts w:hint="eastAsia" w:ascii="宋体" w:hAnsi="宋体"/>
          <w:szCs w:val="21"/>
        </w:rPr>
        <w:t>第七章  评标程序及评标方法</w:t>
      </w:r>
    </w:p>
    <w:p w14:paraId="6749F0EA">
      <w:pPr>
        <w:ind w:left="630" w:leftChars="300" w:firstLine="411" w:firstLineChars="196"/>
        <w:rPr>
          <w:rFonts w:ascii="宋体" w:hAnsi="宋体"/>
          <w:szCs w:val="21"/>
        </w:rPr>
      </w:pPr>
      <w:r>
        <w:rPr>
          <w:rFonts w:hint="eastAsia" w:ascii="宋体" w:hAnsi="宋体"/>
          <w:szCs w:val="21"/>
        </w:rPr>
        <w:t>第八章  定标及公示</w:t>
      </w:r>
    </w:p>
    <w:p w14:paraId="089C7253">
      <w:pPr>
        <w:ind w:left="630" w:leftChars="300" w:firstLine="411" w:firstLineChars="196"/>
        <w:rPr>
          <w:rFonts w:ascii="宋体" w:hAnsi="宋体"/>
          <w:szCs w:val="21"/>
        </w:rPr>
      </w:pPr>
      <w:r>
        <w:rPr>
          <w:rFonts w:hint="eastAsia" w:ascii="宋体" w:hAnsi="宋体"/>
          <w:szCs w:val="21"/>
        </w:rPr>
        <w:t>第九章  公开招标失败的后续处理</w:t>
      </w:r>
    </w:p>
    <w:p w14:paraId="39F2FC8A">
      <w:pPr>
        <w:ind w:left="630" w:leftChars="300" w:firstLine="411" w:firstLineChars="196"/>
        <w:rPr>
          <w:rFonts w:ascii="宋体" w:hAnsi="宋体"/>
          <w:szCs w:val="21"/>
        </w:rPr>
      </w:pPr>
      <w:r>
        <w:rPr>
          <w:rFonts w:hint="eastAsia" w:ascii="宋体" w:hAnsi="宋体"/>
          <w:szCs w:val="21"/>
        </w:rPr>
        <w:t>第十章  合同的授予与备案</w:t>
      </w:r>
    </w:p>
    <w:p w14:paraId="1D6F1A26">
      <w:pPr>
        <w:ind w:left="630" w:leftChars="300" w:firstLine="411" w:firstLineChars="196"/>
        <w:rPr>
          <w:rFonts w:ascii="宋体" w:hAnsi="宋体"/>
          <w:szCs w:val="21"/>
        </w:rPr>
      </w:pPr>
      <w:r>
        <w:rPr>
          <w:rFonts w:hint="eastAsia" w:ascii="宋体" w:hAnsi="宋体"/>
          <w:szCs w:val="21"/>
        </w:rPr>
        <w:t>第十一章  质疑处理</w:t>
      </w:r>
    </w:p>
    <w:p w14:paraId="250B4742">
      <w:pPr>
        <w:rPr>
          <w:rFonts w:ascii="Times New Roman" w:hAnsi="Times New Roman"/>
          <w:sz w:val="24"/>
          <w:szCs w:val="24"/>
        </w:rPr>
      </w:pPr>
    </w:p>
    <w:p w14:paraId="4F0D64DF">
      <w:pPr>
        <w:rPr>
          <w:rFonts w:ascii="Times New Roman" w:hAnsi="Times New Roman"/>
          <w:b/>
          <w:szCs w:val="24"/>
        </w:rPr>
      </w:pPr>
      <w:r>
        <w:rPr>
          <w:rFonts w:hint="eastAsia" w:ascii="Times New Roman" w:hAnsi="Times New Roman"/>
          <w:b/>
          <w:szCs w:val="24"/>
        </w:rPr>
        <w:t>备注：</w:t>
      </w:r>
    </w:p>
    <w:p w14:paraId="4DC08AA8">
      <w:pPr>
        <w:ind w:firstLine="420" w:firstLineChars="200"/>
        <w:rPr>
          <w:rFonts w:ascii="Times New Roman" w:hAnsi="Times New Roman"/>
          <w:b/>
          <w:szCs w:val="24"/>
        </w:rPr>
      </w:pPr>
      <w:r>
        <w:rPr>
          <w:rFonts w:hint="eastAsia" w:ascii="宋体" w:hAnsi="宋体"/>
          <w:szCs w:val="21"/>
        </w:rPr>
        <w:t>1.本招标文件分为第一册“专用条款”和第二册“通用条款”。</w:t>
      </w:r>
    </w:p>
    <w:p w14:paraId="278EE8EA">
      <w:pPr>
        <w:spacing w:line="360" w:lineRule="auto"/>
        <w:ind w:firstLine="420" w:firstLineChars="200"/>
        <w:jc w:val="left"/>
        <w:rPr>
          <w:rFonts w:ascii="宋体" w:hAnsi="宋体"/>
          <w:szCs w:val="21"/>
        </w:rPr>
      </w:pPr>
      <w:r>
        <w:rPr>
          <w:rFonts w:hint="eastAsia" w:ascii="宋体" w:hAnsi="宋体"/>
          <w:szCs w:val="21"/>
        </w:rPr>
        <w:t>2.“专用条款”是对本次采购项目的具体要求，包含招标公告、招标项目需求、投标文件格式、合同及履约情况反馈格式等内容。</w:t>
      </w:r>
    </w:p>
    <w:p w14:paraId="60E261C5">
      <w:pPr>
        <w:spacing w:line="360" w:lineRule="auto"/>
        <w:ind w:firstLine="420" w:firstLineChars="200"/>
        <w:jc w:val="left"/>
        <w:rPr>
          <w:rFonts w:ascii="宋体" w:hAnsi="宋体"/>
          <w:szCs w:val="21"/>
        </w:rPr>
      </w:pPr>
      <w:r>
        <w:rPr>
          <w:rFonts w:hint="eastAsia" w:ascii="宋体" w:hAnsi="宋体"/>
          <w:szCs w:val="21"/>
        </w:rPr>
        <w:t>3.“通用条款”是适用于政府采购项目的基础性条款，具有普遍性和通用性。</w:t>
      </w:r>
    </w:p>
    <w:p w14:paraId="7BE843AA">
      <w:pPr>
        <w:spacing w:line="360" w:lineRule="auto"/>
        <w:ind w:firstLine="420" w:firstLineChars="200"/>
        <w:jc w:val="left"/>
        <w:rPr>
          <w:rFonts w:ascii="宋体" w:hAnsi="宋体"/>
          <w:szCs w:val="21"/>
        </w:rPr>
      </w:pPr>
      <w:r>
        <w:rPr>
          <w:rFonts w:hint="eastAsia" w:ascii="宋体" w:hAnsi="宋体"/>
          <w:szCs w:val="21"/>
        </w:rPr>
        <w:t>4.当出现“专用条款”和“通用条款”表述不一致或有冲突时，以“专用条款”为准。</w:t>
      </w:r>
    </w:p>
    <w:p w14:paraId="2A5B7EFC">
      <w:pPr>
        <w:rPr>
          <w:rFonts w:ascii="宋体" w:hAnsi="宋体"/>
          <w:szCs w:val="21"/>
        </w:rPr>
      </w:pPr>
    </w:p>
    <w:p w14:paraId="4D50EC61">
      <w:pPr>
        <w:widowControl/>
        <w:jc w:val="left"/>
        <w:rPr>
          <w:rFonts w:ascii="宋体" w:hAnsi="宋体" w:eastAsia="黑体"/>
          <w:b/>
          <w:bCs/>
          <w:kern w:val="44"/>
          <w:sz w:val="28"/>
          <w:szCs w:val="44"/>
        </w:rPr>
      </w:pPr>
      <w:r>
        <w:rPr>
          <w:rFonts w:ascii="Times New Roman" w:hAnsi="Times New Roman"/>
          <w:szCs w:val="24"/>
        </w:rPr>
        <w:br w:type="page"/>
      </w:r>
    </w:p>
    <w:p w14:paraId="7E9A7410">
      <w:pPr>
        <w:keepNext w:val="0"/>
        <w:keepLines w:val="0"/>
        <w:pageBreakBefore w:val="0"/>
        <w:widowControl w:val="0"/>
        <w:kinsoku/>
        <w:wordWrap/>
        <w:overflowPunct/>
        <w:topLinePunct w:val="0"/>
        <w:autoSpaceDE/>
        <w:autoSpaceDN/>
        <w:bidi w:val="0"/>
        <w:spacing w:before="340" w:after="330" w:line="360" w:lineRule="auto"/>
        <w:jc w:val="center"/>
        <w:outlineLvl w:val="0"/>
        <w:rPr>
          <w:rFonts w:ascii="宋体" w:hAnsi="宋体" w:eastAsia="黑体"/>
          <w:b/>
          <w:bCs/>
          <w:kern w:val="44"/>
          <w:sz w:val="24"/>
          <w:szCs w:val="44"/>
        </w:rPr>
      </w:pPr>
      <w:r>
        <w:rPr>
          <w:rFonts w:hint="eastAsia" w:ascii="宋体" w:hAnsi="宋体" w:eastAsia="黑体"/>
          <w:b/>
          <w:bCs/>
          <w:kern w:val="44"/>
          <w:sz w:val="28"/>
          <w:szCs w:val="44"/>
        </w:rPr>
        <w:t>第一册  专用条款</w:t>
      </w:r>
    </w:p>
    <w:p w14:paraId="4BAA5C42">
      <w:pPr>
        <w:keepNext w:val="0"/>
        <w:keepLines w:val="0"/>
        <w:pageBreakBefore w:val="0"/>
        <w:widowControl w:val="0"/>
        <w:kinsoku/>
        <w:wordWrap/>
        <w:overflowPunct/>
        <w:topLinePunct w:val="0"/>
        <w:autoSpaceDE/>
        <w:autoSpaceDN/>
        <w:bidi w:val="0"/>
        <w:adjustRightInd w:val="0"/>
        <w:spacing w:before="260" w:after="260" w:line="360" w:lineRule="exact"/>
        <w:jc w:val="center"/>
        <w:textAlignment w:val="baseline"/>
        <w:outlineLvl w:val="1"/>
        <w:rPr>
          <w:rFonts w:ascii="宋体" w:hAnsi="宋体"/>
          <w:b/>
          <w:bCs/>
          <w:kern w:val="0"/>
          <w:sz w:val="24"/>
          <w:szCs w:val="20"/>
        </w:rPr>
      </w:pPr>
      <w:r>
        <w:rPr>
          <w:rFonts w:hint="eastAsia" w:ascii="宋体" w:hAnsi="宋体"/>
          <w:b/>
          <w:bCs/>
          <w:kern w:val="0"/>
          <w:sz w:val="24"/>
          <w:szCs w:val="20"/>
        </w:rPr>
        <w:t>第一章  招标公告</w:t>
      </w:r>
    </w:p>
    <w:p w14:paraId="50069A6A">
      <w:pPr>
        <w:keepNext w:val="0"/>
        <w:keepLines w:val="0"/>
        <w:pageBreakBefore w:val="0"/>
        <w:widowControl w:val="0"/>
        <w:kinsoku/>
        <w:wordWrap/>
        <w:overflowPunct/>
        <w:topLinePunct w:val="0"/>
        <w:autoSpaceDE/>
        <w:autoSpaceDN/>
        <w:bidi w:val="0"/>
        <w:spacing w:line="360" w:lineRule="exact"/>
        <w:rPr>
          <w:rFonts w:ascii="宋体" w:hAnsi="宋体"/>
          <w:vanish/>
          <w:szCs w:val="21"/>
        </w:rPr>
      </w:pPr>
    </w:p>
    <w:p w14:paraId="13764FA7">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项目概况:</w:t>
      </w:r>
    </w:p>
    <w:p w14:paraId="1C0F9497">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cs="宋体"/>
          <w:sz w:val="21"/>
          <w:szCs w:val="21"/>
          <w:lang w:eastAsia="zh-CN"/>
        </w:rPr>
        <w:t>2025年网络安全保障服务项目</w:t>
      </w:r>
      <w:r>
        <w:rPr>
          <w:rFonts w:hint="eastAsia" w:ascii="宋体" w:hAnsi="宋体" w:eastAsia="宋体" w:cs="宋体"/>
          <w:sz w:val="21"/>
          <w:szCs w:val="21"/>
        </w:rPr>
        <w:t xml:space="preserve">招标项目的潜在投标人应在（本公告附件中）获取招标文件，并于 </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06</w:t>
      </w:r>
      <w:r>
        <w:rPr>
          <w:rFonts w:hint="eastAsia" w:ascii="宋体" w:hAnsi="宋体" w:eastAsia="宋体" w:cs="宋体"/>
          <w:b/>
          <w:sz w:val="21"/>
          <w:szCs w:val="21"/>
          <w:u w:val="single"/>
        </w:rPr>
        <w:t>日14:00（北京时间）</w:t>
      </w:r>
      <w:r>
        <w:rPr>
          <w:rFonts w:hint="eastAsia" w:ascii="宋体" w:hAnsi="宋体" w:eastAsia="宋体" w:cs="宋体"/>
          <w:sz w:val="21"/>
          <w:szCs w:val="21"/>
        </w:rPr>
        <w:t xml:space="preserve">前递交投标文件。 </w:t>
      </w:r>
    </w:p>
    <w:p w14:paraId="1963F957">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352AB9CD">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一、项目基本情况</w:t>
      </w:r>
    </w:p>
    <w:p w14:paraId="2C9403A6">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项目编号：</w:t>
      </w:r>
      <w:r>
        <w:rPr>
          <w:rFonts w:hint="eastAsia" w:cs="宋体"/>
          <w:sz w:val="21"/>
          <w:szCs w:val="21"/>
          <w:lang w:eastAsia="zh-CN"/>
        </w:rPr>
        <w:t>SZDL2025000019</w:t>
      </w:r>
    </w:p>
    <w:p w14:paraId="4B84924A">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项目名称：</w:t>
      </w:r>
      <w:r>
        <w:rPr>
          <w:rFonts w:hint="eastAsia" w:cs="宋体"/>
          <w:sz w:val="21"/>
          <w:szCs w:val="21"/>
          <w:lang w:eastAsia="zh-CN"/>
        </w:rPr>
        <w:t>2025年网络安全保障服务项目</w:t>
      </w:r>
    </w:p>
    <w:p w14:paraId="3CE3C482">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预算金额：人民币</w:t>
      </w:r>
      <w:r>
        <w:rPr>
          <w:rFonts w:hint="eastAsia" w:cs="宋体"/>
          <w:sz w:val="21"/>
          <w:szCs w:val="21"/>
          <w:lang w:eastAsia="zh-CN"/>
        </w:rPr>
        <w:t>1,100,000.00元</w:t>
      </w:r>
    </w:p>
    <w:p w14:paraId="7F1C399F">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最高限价：人民币</w:t>
      </w:r>
      <w:r>
        <w:rPr>
          <w:rFonts w:hint="eastAsia" w:cs="宋体"/>
          <w:sz w:val="21"/>
          <w:szCs w:val="21"/>
          <w:lang w:eastAsia="zh-CN"/>
        </w:rPr>
        <w:t>1,100,000.00</w:t>
      </w:r>
      <w:r>
        <w:rPr>
          <w:rFonts w:hint="eastAsia" w:ascii="宋体" w:hAnsi="宋体" w:eastAsia="宋体" w:cs="宋体"/>
          <w:sz w:val="21"/>
          <w:szCs w:val="21"/>
        </w:rPr>
        <w:t>元</w:t>
      </w:r>
    </w:p>
    <w:p w14:paraId="482174BE">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w:t>
      </w:r>
      <w:r>
        <w:rPr>
          <w:rFonts w:hint="eastAsia" w:ascii="宋体" w:hAnsi="宋体" w:eastAsia="宋体" w:cs="宋体"/>
          <w:sz w:val="21"/>
          <w:szCs w:val="21"/>
        </w:rPr>
        <w:t>采购需求：</w:t>
      </w:r>
    </w:p>
    <w:tbl>
      <w:tblPr>
        <w:tblStyle w:val="42"/>
        <w:tblW w:w="8505" w:type="dxa"/>
        <w:tblInd w:w="60" w:type="dxa"/>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autofit"/>
        <w:tblCellMar>
          <w:top w:w="60" w:type="dxa"/>
          <w:left w:w="60" w:type="dxa"/>
          <w:bottom w:w="60" w:type="dxa"/>
          <w:right w:w="60" w:type="dxa"/>
        </w:tblCellMar>
      </w:tblPr>
      <w:tblGrid>
        <w:gridCol w:w="3261"/>
        <w:gridCol w:w="850"/>
        <w:gridCol w:w="992"/>
        <w:gridCol w:w="2552"/>
        <w:gridCol w:w="850"/>
      </w:tblGrid>
      <w:tr w14:paraId="1C9F5038">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7D308B1">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标的名称</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6FE7FC1">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99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68C0CB35">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448EF500">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简要技术需求（服务需求）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vAlign w:val="center"/>
          </w:tcPr>
          <w:p w14:paraId="0DA4FE98">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14:paraId="5DE4AC04">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trPr>
        <w:tc>
          <w:tcPr>
            <w:tcW w:w="3261" w:type="dxa"/>
            <w:tcBorders>
              <w:top w:val="outset" w:color="AAAAAA" w:sz="6" w:space="0"/>
              <w:left w:val="outset" w:color="AAAAAA" w:sz="6" w:space="0"/>
              <w:bottom w:val="outset" w:color="AAAAAA" w:sz="6" w:space="0"/>
              <w:right w:val="outset" w:color="AAAAAA" w:sz="6" w:space="0"/>
            </w:tcBorders>
            <w:shd w:val="clear" w:color="auto" w:fill="auto"/>
            <w:vAlign w:val="center"/>
          </w:tcPr>
          <w:p w14:paraId="3948F4AB">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2025年网络安全保障服务项目</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A5CB1A0">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99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4150A6B3">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项</w:t>
            </w:r>
          </w:p>
        </w:tc>
        <w:tc>
          <w:tcPr>
            <w:tcW w:w="2552" w:type="dxa"/>
            <w:tcBorders>
              <w:top w:val="outset" w:color="AAAAAA" w:sz="6" w:space="0"/>
              <w:left w:val="outset" w:color="AAAAAA" w:sz="6" w:space="0"/>
              <w:bottom w:val="outset" w:color="AAAAAA" w:sz="6" w:space="0"/>
              <w:right w:val="outset" w:color="AAAAAA" w:sz="6" w:space="0"/>
            </w:tcBorders>
            <w:shd w:val="clear" w:color="auto" w:fill="auto"/>
            <w:vAlign w:val="center"/>
          </w:tcPr>
          <w:p w14:paraId="03FD4F58">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详见招标文件</w:t>
            </w:r>
          </w:p>
        </w:tc>
        <w:tc>
          <w:tcPr>
            <w:tcW w:w="850" w:type="dxa"/>
            <w:tcBorders>
              <w:top w:val="outset" w:color="AAAAAA" w:sz="6" w:space="0"/>
              <w:left w:val="outset" w:color="AAAAAA" w:sz="6" w:space="0"/>
              <w:bottom w:val="outset" w:color="AAAAAA" w:sz="6" w:space="0"/>
              <w:right w:val="outset" w:color="AAAAAA" w:sz="6" w:space="0"/>
            </w:tcBorders>
            <w:shd w:val="clear" w:color="auto" w:fill="auto"/>
            <w:vAlign w:val="center"/>
          </w:tcPr>
          <w:p w14:paraId="6F49FE07">
            <w:pPr>
              <w:keepNext w:val="0"/>
              <w:keepLines w:val="0"/>
              <w:pageBreakBefore w:val="0"/>
              <w:widowControl w:val="0"/>
              <w:kinsoku/>
              <w:wordWrap/>
              <w:overflowPunct/>
              <w:topLinePunct w:val="0"/>
              <w:autoSpaceDE/>
              <w:autoSpaceDN/>
              <w:bidi w:val="0"/>
              <w:spacing w:beforeAutospacing="0" w:afterAutospacing="0"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无</w:t>
            </w:r>
          </w:p>
        </w:tc>
      </w:tr>
    </w:tbl>
    <w:p w14:paraId="5787495E">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w:t>
      </w:r>
      <w:r>
        <w:rPr>
          <w:rFonts w:hint="eastAsia" w:ascii="宋体" w:hAnsi="宋体" w:eastAsia="宋体" w:cs="宋体"/>
          <w:sz w:val="21"/>
          <w:szCs w:val="21"/>
        </w:rPr>
        <w:t>合同履行期限：详见招标文件</w:t>
      </w:r>
      <w:r>
        <w:rPr>
          <w:rFonts w:hint="eastAsia" w:ascii="宋体" w:hAnsi="宋体" w:eastAsia="宋体" w:cs="宋体"/>
          <w:sz w:val="21"/>
          <w:szCs w:val="21"/>
          <w:lang w:eastAsia="zh-CN"/>
        </w:rPr>
        <w:t>。</w:t>
      </w:r>
    </w:p>
    <w:p w14:paraId="179B4A9C">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7</w:t>
      </w:r>
      <w:r>
        <w:rPr>
          <w:rFonts w:hint="eastAsia" w:ascii="宋体" w:hAnsi="宋体" w:eastAsia="宋体" w:cs="宋体"/>
          <w:sz w:val="21"/>
          <w:szCs w:val="21"/>
          <w:lang w:val="en-US" w:eastAsia="zh-CN"/>
        </w:rPr>
        <w:t>.</w:t>
      </w:r>
      <w:r>
        <w:rPr>
          <w:rFonts w:hint="eastAsia" w:ascii="宋体" w:hAnsi="宋体" w:eastAsia="宋体" w:cs="宋体"/>
          <w:sz w:val="21"/>
          <w:szCs w:val="21"/>
        </w:rPr>
        <w:t>本项目</w:t>
      </w:r>
      <w:r>
        <w:rPr>
          <w:rFonts w:hint="eastAsia" w:ascii="宋体" w:hAnsi="宋体" w:eastAsia="宋体" w:cs="宋体"/>
          <w:sz w:val="21"/>
          <w:szCs w:val="21"/>
          <w:lang w:eastAsia="zh-CN"/>
        </w:rPr>
        <w:t>不</w:t>
      </w:r>
      <w:r>
        <w:rPr>
          <w:rFonts w:hint="eastAsia" w:ascii="宋体" w:hAnsi="宋体" w:eastAsia="宋体" w:cs="宋体"/>
          <w:sz w:val="21"/>
          <w:szCs w:val="21"/>
        </w:rPr>
        <w:t>接受联合体投标</w:t>
      </w:r>
      <w:r>
        <w:rPr>
          <w:rFonts w:hint="eastAsia" w:ascii="宋体" w:hAnsi="宋体" w:eastAsia="宋体" w:cs="宋体"/>
          <w:sz w:val="21"/>
          <w:szCs w:val="21"/>
          <w:lang w:eastAsia="zh-CN"/>
        </w:rPr>
        <w:t>。</w:t>
      </w:r>
    </w:p>
    <w:p w14:paraId="49FB0E7A">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3A440663">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二、申请人的资格要求：</w:t>
      </w:r>
    </w:p>
    <w:p w14:paraId="1D6F6BA4">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满足《中华人民共和国政府采购法》第二十二条规定</w:t>
      </w:r>
      <w:r>
        <w:rPr>
          <w:rFonts w:hint="eastAsia" w:ascii="宋体" w:hAnsi="宋体" w:eastAsia="宋体" w:cs="宋体"/>
          <w:snapToGrid w:val="0"/>
          <w:sz w:val="21"/>
          <w:szCs w:val="21"/>
        </w:rPr>
        <w:t>（须提供具有独立承担民事责任能力的法人或其他组织或个体工商户的营业执照或法人证书等证明材料扫描件以及《</w:t>
      </w:r>
      <w:r>
        <w:rPr>
          <w:rFonts w:hint="eastAsia" w:ascii="宋体" w:hAnsi="宋体" w:eastAsia="宋体" w:cs="宋体"/>
          <w:sz w:val="21"/>
          <w:szCs w:val="21"/>
        </w:rPr>
        <w:t>政府采购投标及履约承诺函</w:t>
      </w:r>
      <w:r>
        <w:rPr>
          <w:rFonts w:hint="eastAsia" w:ascii="宋体" w:hAnsi="宋体" w:eastAsia="宋体" w:cs="宋体"/>
          <w:snapToGrid w:val="0"/>
          <w:sz w:val="21"/>
          <w:szCs w:val="21"/>
        </w:rPr>
        <w:t>》）。如果是分支机构参与投标，还须同时提供其具有独立法人资格的上级主体出具的有效授权书及上级主体的营业执照或法人证书等证明材料扫描件；本项目不接受总公司与分支机构同时参与投标，也不接受同一总公司有两个或以上分支机构参与投标，如出现以上情形，该两家或以上投标人均按无效投标处理</w:t>
      </w:r>
      <w:r>
        <w:rPr>
          <w:rFonts w:hint="eastAsia" w:ascii="宋体" w:hAnsi="宋体" w:eastAsia="宋体" w:cs="宋体"/>
          <w:sz w:val="21"/>
          <w:szCs w:val="21"/>
        </w:rPr>
        <w:t xml:space="preserve">。 </w:t>
      </w:r>
    </w:p>
    <w:p w14:paraId="3BD9D0EF">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落实政府采购政策需满足的资格要求：无。 </w:t>
      </w:r>
    </w:p>
    <w:p w14:paraId="783E4239">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本项目的特定资格要求：</w:t>
      </w:r>
    </w:p>
    <w:p w14:paraId="783E8EA8">
      <w:pPr>
        <w:pStyle w:val="22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（1）参与本项目采购活动前三年内，在经营活动中没有重大违法记录（须按本项目投标文件格式要求提供《政府采购投标及履约承诺函》）；</w:t>
      </w:r>
    </w:p>
    <w:p w14:paraId="18D4BA89">
      <w:pPr>
        <w:pStyle w:val="22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（2）参与本项目政府采购活动时不存在被有关部门禁止参与政府采购活动且在有效期内的情况（须按本项目投标文件格式要求提供《政府采购投标及履约承诺函》）；</w:t>
      </w:r>
    </w:p>
    <w:p w14:paraId="755D6B49">
      <w:pPr>
        <w:pStyle w:val="22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3）单位负责人为同一人或者存在直接控股、管理关系的不同供应商，不得参加同一合同项下的政府采购活动，不存在《深圳市财政局政府采购供应商信用信息管理办法》（深财规〔2023〕3号）列明的严重违法失信行为（须按本项目投标文件格式要求提供《政府采购投标及履约承诺函》）；</w:t>
      </w:r>
    </w:p>
    <w:p w14:paraId="7619A3B3">
      <w:pPr>
        <w:pStyle w:val="22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4）除单一来源采购项目外，为采购项目提供整体设计、规范编制或者项目管理、监理、检测等服务的供应商，不得再参加该采购项目的其他采购活动（须按本项目投标文件格式要求提供《政府采购投标及履约承诺函》）；</w:t>
      </w:r>
    </w:p>
    <w:p w14:paraId="567FD4F7">
      <w:pPr>
        <w:pStyle w:val="22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（5）参与本项目政府采购活动不存在与其他采购参加人串通投标，隐瞒真实情况，提供虚假资料等违法违规情形（须按本项目投标文件格式要求提供《政府采购投标及履约承诺函》）；</w:t>
      </w:r>
    </w:p>
    <w:p w14:paraId="1786286B">
      <w:pPr>
        <w:pStyle w:val="22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14:paraId="645B75A5">
      <w:pPr>
        <w:pStyle w:val="22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424" w:firstLineChars="202"/>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（7）本项目不接受联合体投标，不允许非法分包或转包。</w:t>
      </w:r>
    </w:p>
    <w:p w14:paraId="00D4E525">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p>
    <w:p w14:paraId="5315CB70">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三、获取招标文件</w:t>
      </w:r>
    </w:p>
    <w:p w14:paraId="56070079">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时间：</w:t>
      </w:r>
      <w:r>
        <w:rPr>
          <w:rFonts w:hint="eastAsia" w:ascii="宋体" w:hAnsi="宋体" w:eastAsia="宋体" w:cs="宋体"/>
          <w:b/>
          <w:sz w:val="21"/>
          <w:szCs w:val="21"/>
          <w:u w:val="single"/>
        </w:rPr>
        <w:t>自本公告发布之日起至</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06</w:t>
      </w:r>
      <w:r>
        <w:rPr>
          <w:rFonts w:hint="eastAsia" w:ascii="宋体" w:hAnsi="宋体" w:eastAsia="宋体" w:cs="宋体"/>
          <w:b/>
          <w:sz w:val="21"/>
          <w:szCs w:val="21"/>
          <w:u w:val="single"/>
        </w:rPr>
        <w:t>日14:00，每天上午0:00至12:00，下午12:00至24:00（北京时间）</w:t>
      </w:r>
      <w:r>
        <w:rPr>
          <w:rFonts w:hint="eastAsia" w:ascii="宋体" w:hAnsi="宋体" w:eastAsia="宋体" w:cs="宋体"/>
          <w:sz w:val="21"/>
          <w:szCs w:val="21"/>
        </w:rPr>
        <w:t xml:space="preserve">。 </w:t>
      </w:r>
    </w:p>
    <w:p w14:paraId="5927DE3D">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地点：登录深圳政府采购智慧平台（http://zfcg.szggzy.com:8081/）下载本项目的招标文件。 </w:t>
      </w:r>
    </w:p>
    <w:p w14:paraId="6849BC73">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方式：在线下载。 </w:t>
      </w:r>
    </w:p>
    <w:p w14:paraId="5932C736">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售价：免费。</w:t>
      </w:r>
    </w:p>
    <w:p w14:paraId="41952018">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p>
    <w:p w14:paraId="633FB912">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四、提交投标文件截止时间、开标时间和地点</w:t>
      </w:r>
    </w:p>
    <w:p w14:paraId="13D4C55A">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投标截止时间：所有投标文件应于</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06</w:t>
      </w:r>
      <w:r>
        <w:rPr>
          <w:rFonts w:hint="eastAsia" w:ascii="宋体" w:hAnsi="宋体" w:eastAsia="宋体" w:cs="宋体"/>
          <w:b/>
          <w:sz w:val="21"/>
          <w:szCs w:val="21"/>
          <w:u w:val="single"/>
        </w:rPr>
        <w:t>日14:00（北京时间）</w:t>
      </w:r>
      <w:r>
        <w:rPr>
          <w:rFonts w:hint="eastAsia" w:ascii="宋体" w:hAnsi="宋体" w:eastAsia="宋体" w:cs="宋体"/>
          <w:sz w:val="21"/>
          <w:szCs w:val="21"/>
        </w:rPr>
        <w:t>之前上传到深圳政府采购智慧平台（http://zfcg.szggzy.com:8081/）。</w:t>
      </w:r>
    </w:p>
    <w:p w14:paraId="457E9A70">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开标时间和地点：定于</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06</w:t>
      </w:r>
      <w:r>
        <w:rPr>
          <w:rFonts w:hint="eastAsia" w:ascii="宋体" w:hAnsi="宋体" w:eastAsia="宋体" w:cs="宋体"/>
          <w:b/>
          <w:sz w:val="21"/>
          <w:szCs w:val="21"/>
          <w:u w:val="single"/>
        </w:rPr>
        <w:t>日14:00（北京时间）</w:t>
      </w:r>
      <w:r>
        <w:rPr>
          <w:rFonts w:hint="eastAsia" w:ascii="宋体" w:hAnsi="宋体" w:eastAsia="宋体" w:cs="宋体"/>
          <w:sz w:val="21"/>
          <w:szCs w:val="21"/>
        </w:rPr>
        <w:t>，在深圳市中正招标有限公司公开开标。</w:t>
      </w:r>
    </w:p>
    <w:p w14:paraId="548DE0FE">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6" w:firstLineChars="202"/>
        <w:textAlignment w:val="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b/>
          <w:sz w:val="21"/>
          <w:szCs w:val="21"/>
          <w:lang w:val="en-US" w:eastAsia="zh-CN"/>
        </w:rPr>
        <w:t>.</w:t>
      </w:r>
      <w:r>
        <w:rPr>
          <w:rFonts w:hint="eastAsia" w:ascii="宋体" w:hAnsi="宋体" w:eastAsia="宋体" w:cs="宋体"/>
          <w:b/>
          <w:sz w:val="21"/>
          <w:szCs w:val="21"/>
        </w:rPr>
        <w:t>在线解密：投标人须在</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06</w:t>
      </w:r>
      <w:r>
        <w:rPr>
          <w:rFonts w:hint="eastAsia" w:ascii="宋体" w:hAnsi="宋体" w:eastAsia="宋体" w:cs="宋体"/>
          <w:b/>
          <w:sz w:val="21"/>
          <w:szCs w:val="21"/>
          <w:u w:val="single"/>
        </w:rPr>
        <w:t>日14:00-15:00（北京时间）</w:t>
      </w:r>
      <w:r>
        <w:rPr>
          <w:rFonts w:hint="eastAsia" w:ascii="宋体" w:hAnsi="宋体" w:eastAsia="宋体" w:cs="宋体"/>
          <w:b/>
          <w:sz w:val="21"/>
          <w:szCs w:val="21"/>
        </w:rPr>
        <w:t>期间进行解密，逾期未解密的作无效处理。</w:t>
      </w:r>
    </w:p>
    <w:p w14:paraId="6E52A543">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w:t>
      </w:r>
      <w:r>
        <w:rPr>
          <w:rFonts w:hint="eastAsia" w:ascii="宋体" w:hAnsi="宋体" w:eastAsia="宋体" w:cs="宋体"/>
          <w:sz w:val="21"/>
          <w:szCs w:val="21"/>
        </w:rPr>
        <w:t>其他说明</w:t>
      </w:r>
      <w:r>
        <w:rPr>
          <w:rFonts w:hint="eastAsia" w:ascii="宋体" w:hAnsi="宋体" w:eastAsia="宋体" w:cs="宋体"/>
          <w:sz w:val="21"/>
          <w:szCs w:val="21"/>
          <w:lang w:eastAsia="zh-CN"/>
        </w:rPr>
        <w:t>：无。</w:t>
      </w:r>
    </w:p>
    <w:p w14:paraId="1C672852">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left="420" w:leftChars="200"/>
        <w:textAlignment w:val="auto"/>
        <w:rPr>
          <w:rFonts w:hint="eastAsia" w:ascii="宋体" w:hAnsi="宋体" w:eastAsia="宋体" w:cs="宋体"/>
          <w:sz w:val="21"/>
          <w:szCs w:val="21"/>
        </w:rPr>
      </w:pPr>
    </w:p>
    <w:p w14:paraId="7C1ABF87">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五、公告期限</w:t>
      </w:r>
    </w:p>
    <w:p w14:paraId="690DC30B">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自本公告发布之日起5个工作日。</w:t>
      </w:r>
    </w:p>
    <w:p w14:paraId="2542FA72">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0" w:firstLineChars="200"/>
        <w:textAlignment w:val="auto"/>
        <w:rPr>
          <w:rFonts w:hint="eastAsia" w:ascii="宋体" w:hAnsi="宋体" w:eastAsia="宋体" w:cs="宋体"/>
          <w:sz w:val="21"/>
          <w:szCs w:val="21"/>
        </w:rPr>
      </w:pPr>
    </w:p>
    <w:p w14:paraId="244B19B2">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六、其他补充事宜</w:t>
      </w:r>
    </w:p>
    <w:p w14:paraId="550D0744">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本项目实行网上投标，采用电子投标文件。</w:t>
      </w:r>
    </w:p>
    <w:p w14:paraId="02D4BF83">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报名操作：投标人如确定参加投标，首先要在深圳政府采购智慧平台网上办事子系统（http://zfcg.szggzy.com:8081/TPBidder/memberLogin）网上报名投标，方法为登陆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绑定深圳政府采购智慧平台用户（电子密钥办理咨询电话：0755-83948165、0755-83938966、020-89524338），再进行投标报名。在网上报名后，点击“【我的项目】→【项目流程】→【采购文件下载】”进行招标文件的下载</w:t>
      </w:r>
      <w:r>
        <w:rPr>
          <w:rFonts w:hint="eastAsia" w:ascii="宋体" w:hAnsi="宋体" w:eastAsia="宋体" w:cs="宋体"/>
          <w:sz w:val="21"/>
          <w:szCs w:val="21"/>
          <w:lang w:eastAsia="zh-CN"/>
        </w:rPr>
        <w:t>。</w:t>
      </w:r>
    </w:p>
    <w:p w14:paraId="084D2337">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3.开标操作：供应商可以登录“深圳政府采购智慧平台用户网上办事子系统（http://zfcg.szggzy.com:8081/TPBidder/memberLogin）”，在“【我的项目】→【项目流程】→【开标及解密】”进行在线解密、查询开标情况。</w:t>
      </w:r>
    </w:p>
    <w:p w14:paraId="2984611C">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投标操作：具体操作为登录“深圳政府采购智慧平台用户网上办事子系统（http://zfcg.szggzy.com:8081/TPBidder/memberLogin）”，用“【我的项目】→【项目流程】→【递交投标(应答)文件】”功能点上传投标文件。本项目电子投标文件最大容量为200MB，单个节点文件不能超过50MB，超过此容量的文件将被拒绝。</w:t>
      </w:r>
    </w:p>
    <w:p w14:paraId="648B51C7">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采购文件澄清/修改事项：</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01</w:t>
      </w:r>
      <w:r>
        <w:rPr>
          <w:rFonts w:hint="eastAsia" w:ascii="宋体" w:hAnsi="宋体" w:eastAsia="宋体" w:cs="宋体"/>
          <w:b/>
          <w:sz w:val="21"/>
          <w:szCs w:val="21"/>
          <w:u w:val="single"/>
        </w:rPr>
        <w:t>日00:00（北京时间）</w:t>
      </w:r>
      <w:r>
        <w:rPr>
          <w:rFonts w:hint="eastAsia" w:ascii="宋体" w:hAnsi="宋体" w:eastAsia="宋体" w:cs="宋体"/>
          <w:sz w:val="21"/>
          <w:szCs w:val="21"/>
        </w:rPr>
        <w:t>前，供应商如果认为采购文件存在不明确、不清晰和前后不一致等问题，可登录“深圳政府采购智慧平台用户网上办事子系统（http://zfcg.szggzy.com:8081/TPBidder/memberLogin）”，在“【我的项目】→【项目流程】→【提问】”功能点中填写需澄清内容。</w:t>
      </w:r>
      <w:r>
        <w:rPr>
          <w:rFonts w:hint="eastAsia" w:cs="宋体"/>
          <w:b/>
          <w:sz w:val="21"/>
          <w:szCs w:val="21"/>
          <w:u w:val="single"/>
          <w:lang w:eastAsia="zh-CN"/>
        </w:rPr>
        <w:t>2025</w:t>
      </w:r>
      <w:r>
        <w:rPr>
          <w:rFonts w:hint="eastAsia" w:ascii="宋体" w:hAnsi="宋体" w:eastAsia="宋体" w:cs="宋体"/>
          <w:b/>
          <w:sz w:val="21"/>
          <w:szCs w:val="21"/>
          <w:u w:val="single"/>
        </w:rPr>
        <w:t>年</w:t>
      </w:r>
      <w:r>
        <w:rPr>
          <w:rFonts w:hint="eastAsia" w:cs="宋体"/>
          <w:b/>
          <w:sz w:val="21"/>
          <w:szCs w:val="21"/>
          <w:u w:val="single"/>
          <w:lang w:val="en-US" w:eastAsia="zh-CN"/>
        </w:rPr>
        <w:t>02</w:t>
      </w:r>
      <w:r>
        <w:rPr>
          <w:rFonts w:hint="eastAsia" w:ascii="宋体" w:hAnsi="宋体" w:eastAsia="宋体" w:cs="宋体"/>
          <w:b/>
          <w:sz w:val="21"/>
          <w:szCs w:val="21"/>
          <w:u w:val="single"/>
        </w:rPr>
        <w:t>月</w:t>
      </w:r>
      <w:r>
        <w:rPr>
          <w:rFonts w:hint="eastAsia" w:cs="宋体"/>
          <w:b/>
          <w:sz w:val="21"/>
          <w:szCs w:val="21"/>
          <w:u w:val="single"/>
          <w:lang w:val="en-US" w:eastAsia="zh-CN"/>
        </w:rPr>
        <w:t>03</w:t>
      </w:r>
      <w:r>
        <w:rPr>
          <w:rFonts w:hint="eastAsia" w:ascii="宋体" w:hAnsi="宋体" w:eastAsia="宋体" w:cs="宋体"/>
          <w:b/>
          <w:sz w:val="21"/>
          <w:szCs w:val="21"/>
          <w:u w:val="single"/>
        </w:rPr>
        <w:t>日00:00（北京时间）</w:t>
      </w:r>
      <w:r>
        <w:rPr>
          <w:rFonts w:hint="eastAsia" w:ascii="宋体" w:hAnsi="宋体" w:eastAsia="宋体" w:cs="宋体"/>
          <w:sz w:val="21"/>
          <w:szCs w:val="21"/>
        </w:rPr>
        <w:t>前将采购文件澄清/修改情况在“【我的项目】→【项目流程】→【答疑澄清文件下载】”中公布，望投标人予以关注。</w:t>
      </w:r>
    </w:p>
    <w:p w14:paraId="23373962">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深圳市福田区民田路171号新华保险大厦903深圳市中正招标有限公司。质疑咨询电话：0755-83026699。根据《深圳经济特区政府采购条例》第四十二条“供应商投诉的事项应当是经过质疑的事项”的规定，未经正式质疑的，将影响供应商行使向财政部门提起投诉的权利。）</w:t>
      </w:r>
    </w:p>
    <w:p w14:paraId="376E52BE">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深圳市中正招标有限公司有权对投标人就本项目要求提供的相关证明资料（原件）进行审查。供应商提供虚假资料被查实的，则可能面临被取消本项目中标资格、列入不良行为记录名单和三年内禁止参与深圳市政府采购活动的风险。本招标公告及本项目招标文件所涉及的时间一律为北京时间。投标人有义务在招标活动期间浏览深圳公共资源交易网（https://www.szggzy.com），在深圳公共资源交易网上公布的与本次招标项目有关的信息视为已送达各投标人。</w:t>
      </w:r>
    </w:p>
    <w:p w14:paraId="0DAC5054">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本项目不需要投标保证金。</w:t>
      </w:r>
    </w:p>
    <w:p w14:paraId="4BCA4BF7">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8.项目中标(成交)供应商可凭借中标通知书和采购合同向金融机构申请政府采购订单融资，详情可登录深圳要素交易金融服务平台https://finance.szexgrp.com/gtm/web/guarantee/#/（或从【深圳政府采购智慧平台】点击【金服平台】），咨询电话0755-36568999转8或拨打0755-88653331。</w:t>
      </w:r>
    </w:p>
    <w:p w14:paraId="511119AF">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p>
    <w:p w14:paraId="44CD79CD">
      <w:pPr>
        <w:pStyle w:val="37"/>
        <w:keepNext w:val="0"/>
        <w:keepLines w:val="0"/>
        <w:pageBreakBefore w:val="0"/>
        <w:widowControl w:val="0"/>
        <w:kinsoku/>
        <w:wordWrap/>
        <w:overflowPunct/>
        <w:topLinePunct w:val="0"/>
        <w:autoSpaceDE/>
        <w:autoSpaceDN/>
        <w:bidi w:val="0"/>
        <w:spacing w:before="0" w:beforeAutospacing="0" w:after="0" w:afterAutospacing="0" w:line="360" w:lineRule="exact"/>
        <w:textAlignment w:val="auto"/>
        <w:rPr>
          <w:rFonts w:hint="eastAsia" w:ascii="宋体" w:hAnsi="宋体" w:eastAsia="宋体" w:cs="宋体"/>
          <w:sz w:val="21"/>
          <w:szCs w:val="21"/>
        </w:rPr>
      </w:pPr>
      <w:r>
        <w:rPr>
          <w:rFonts w:hint="eastAsia" w:ascii="宋体" w:hAnsi="宋体" w:eastAsia="宋体" w:cs="宋体"/>
          <w:sz w:val="21"/>
          <w:szCs w:val="21"/>
        </w:rPr>
        <w:t>七、对本次招标提出询问，请按以下方式联系。</w:t>
      </w:r>
    </w:p>
    <w:p w14:paraId="0B7555FC">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采购人信息 </w:t>
      </w:r>
    </w:p>
    <w:p w14:paraId="025F701F">
      <w:pPr>
        <w:pStyle w:val="22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359" w:leftChars="171" w:firstLine="65" w:firstLineChars="31"/>
        <w:textAlignment w:val="auto"/>
        <w:rPr>
          <w:rFonts w:hint="eastAsia"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rPr>
        <w:t>名称：</w:t>
      </w:r>
      <w:r>
        <w:rPr>
          <w:rFonts w:hint="eastAsia" w:ascii="宋体" w:hAnsi="宋体" w:eastAsia="宋体" w:cs="宋体"/>
          <w:snapToGrid w:val="0"/>
          <w:color w:val="auto"/>
          <w:sz w:val="21"/>
          <w:szCs w:val="21"/>
          <w:lang w:eastAsia="zh-CN"/>
        </w:rPr>
        <w:t>深圳市应急管理局</w:t>
      </w:r>
    </w:p>
    <w:p w14:paraId="09BE18A2">
      <w:pPr>
        <w:pStyle w:val="22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地址：深圳市福田区福中三路市民中心C区5楼</w:t>
      </w:r>
    </w:p>
    <w:p w14:paraId="540ED9C6">
      <w:pPr>
        <w:pStyle w:val="22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left="359" w:leftChars="171" w:firstLine="65" w:firstLineChars="31"/>
        <w:textAlignment w:val="auto"/>
        <w:rPr>
          <w:rFonts w:hint="eastAsia" w:ascii="宋体" w:hAnsi="宋体" w:eastAsia="宋体" w:cs="宋体"/>
          <w:snapToGrid w:val="0"/>
          <w:color w:val="auto"/>
          <w:sz w:val="21"/>
          <w:szCs w:val="21"/>
        </w:rPr>
      </w:pPr>
      <w:r>
        <w:rPr>
          <w:rFonts w:hint="eastAsia" w:ascii="宋体" w:hAnsi="宋体" w:eastAsia="宋体" w:cs="宋体"/>
          <w:snapToGrid w:val="0"/>
          <w:color w:val="auto"/>
          <w:sz w:val="21"/>
          <w:szCs w:val="21"/>
        </w:rPr>
        <w:t>联系方式：</w:t>
      </w:r>
      <w:r>
        <w:rPr>
          <w:rFonts w:hint="eastAsia" w:ascii="宋体" w:hAnsi="宋体" w:eastAsia="宋体" w:cs="宋体"/>
          <w:snapToGrid w:val="0"/>
          <w:color w:val="auto"/>
          <w:sz w:val="21"/>
          <w:szCs w:val="21"/>
          <w:lang w:eastAsia="zh-CN"/>
        </w:rPr>
        <w:t>佘</w:t>
      </w:r>
      <w:r>
        <w:rPr>
          <w:rFonts w:hint="eastAsia" w:ascii="宋体" w:hAnsi="宋体" w:eastAsia="宋体" w:cs="宋体"/>
          <w:snapToGrid w:val="0"/>
          <w:color w:val="auto"/>
          <w:sz w:val="21"/>
          <w:szCs w:val="21"/>
          <w:lang w:val="en-US" w:eastAsia="zh-CN"/>
        </w:rPr>
        <w:t>工，0755-88103078</w:t>
      </w:r>
    </w:p>
    <w:p w14:paraId="1CB50C87">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采购代理机构信息 </w:t>
      </w:r>
    </w:p>
    <w:p w14:paraId="182020DE">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 xml:space="preserve">名称：深圳市中正招标有限公司 </w:t>
      </w:r>
    </w:p>
    <w:p w14:paraId="1C24E12D">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地址：深圳市福田区民田路171号新华保险大厦903</w:t>
      </w:r>
    </w:p>
    <w:p w14:paraId="2C7D12E3">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联系方式：0755-83026699</w:t>
      </w:r>
    </w:p>
    <w:p w14:paraId="2D65B9C6">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项目联系方式 </w:t>
      </w:r>
    </w:p>
    <w:p w14:paraId="150CD0D5">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项目联系人：</w:t>
      </w:r>
      <w:r>
        <w:rPr>
          <w:rFonts w:hint="eastAsia" w:cs="宋体"/>
          <w:sz w:val="21"/>
          <w:szCs w:val="21"/>
          <w:lang w:val="en-US" w:eastAsia="zh-CN"/>
        </w:rPr>
        <w:t>李</w:t>
      </w:r>
      <w:r>
        <w:rPr>
          <w:rFonts w:hint="eastAsia" w:ascii="宋体" w:hAnsi="宋体" w:eastAsia="宋体" w:cs="宋体"/>
          <w:sz w:val="21"/>
          <w:szCs w:val="21"/>
        </w:rPr>
        <w:t xml:space="preserve">先生 </w:t>
      </w:r>
    </w:p>
    <w:p w14:paraId="691BBEC7">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r>
        <w:rPr>
          <w:rFonts w:hint="eastAsia" w:ascii="宋体" w:hAnsi="宋体" w:eastAsia="宋体" w:cs="宋体"/>
          <w:sz w:val="21"/>
          <w:szCs w:val="21"/>
        </w:rPr>
        <w:t>电话：0755-83026699</w:t>
      </w:r>
    </w:p>
    <w:p w14:paraId="3D854CAA">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textAlignment w:val="auto"/>
        <w:rPr>
          <w:rFonts w:hint="eastAsia" w:ascii="宋体" w:hAnsi="宋体" w:eastAsia="宋体" w:cs="宋体"/>
          <w:sz w:val="21"/>
          <w:szCs w:val="21"/>
        </w:rPr>
      </w:pPr>
    </w:p>
    <w:p w14:paraId="78C5233D">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jc w:val="right"/>
        <w:textAlignment w:val="auto"/>
        <w:rPr>
          <w:rFonts w:hint="eastAsia" w:ascii="宋体" w:hAnsi="宋体" w:eastAsia="宋体" w:cs="宋体"/>
          <w:sz w:val="21"/>
          <w:szCs w:val="21"/>
        </w:rPr>
      </w:pPr>
      <w:r>
        <w:rPr>
          <w:rFonts w:hint="eastAsia" w:ascii="宋体" w:hAnsi="宋体" w:eastAsia="宋体" w:cs="宋体"/>
          <w:sz w:val="21"/>
          <w:szCs w:val="21"/>
        </w:rPr>
        <w:t>深圳市中正招标有限公司</w:t>
      </w:r>
    </w:p>
    <w:p w14:paraId="6B93F972">
      <w:pPr>
        <w:pStyle w:val="37"/>
        <w:keepNext w:val="0"/>
        <w:keepLines w:val="0"/>
        <w:pageBreakBefore w:val="0"/>
        <w:widowControl w:val="0"/>
        <w:kinsoku/>
        <w:wordWrap/>
        <w:overflowPunct/>
        <w:topLinePunct w:val="0"/>
        <w:autoSpaceDE/>
        <w:autoSpaceDN/>
        <w:bidi w:val="0"/>
        <w:spacing w:before="0" w:beforeAutospacing="0" w:after="0" w:afterAutospacing="0" w:line="360" w:lineRule="exact"/>
        <w:ind w:firstLine="424" w:firstLineChars="202"/>
        <w:jc w:val="right"/>
        <w:textAlignment w:val="auto"/>
        <w:rPr>
          <w:rFonts w:hint="eastAsia" w:ascii="宋体" w:hAnsi="宋体" w:eastAsia="宋体" w:cs="宋体"/>
          <w:sz w:val="21"/>
          <w:szCs w:val="21"/>
        </w:rPr>
      </w:pPr>
      <w:r>
        <w:rPr>
          <w:rFonts w:hint="eastAsia" w:cs="宋体"/>
          <w:sz w:val="21"/>
          <w:szCs w:val="21"/>
          <w:lang w:eastAsia="zh-CN"/>
        </w:rPr>
        <w:t>2025</w:t>
      </w:r>
      <w:r>
        <w:rPr>
          <w:rFonts w:hint="eastAsia" w:ascii="宋体" w:hAnsi="宋体" w:eastAsia="宋体" w:cs="宋体"/>
          <w:sz w:val="21"/>
          <w:szCs w:val="21"/>
        </w:rPr>
        <w:t>年</w:t>
      </w:r>
      <w:r>
        <w:rPr>
          <w:rFonts w:hint="eastAsia" w:cs="宋体"/>
          <w:sz w:val="21"/>
          <w:szCs w:val="21"/>
          <w:lang w:val="en-US" w:eastAsia="zh-CN"/>
        </w:rPr>
        <w:t>01</w:t>
      </w:r>
      <w:r>
        <w:rPr>
          <w:rFonts w:hint="eastAsia" w:ascii="宋体" w:hAnsi="宋体" w:eastAsia="宋体" w:cs="宋体"/>
          <w:sz w:val="21"/>
          <w:szCs w:val="21"/>
        </w:rPr>
        <w:t>月</w:t>
      </w:r>
      <w:r>
        <w:rPr>
          <w:rFonts w:hint="eastAsia" w:cs="宋体"/>
          <w:sz w:val="21"/>
          <w:szCs w:val="21"/>
          <w:lang w:val="en-US" w:eastAsia="zh-CN"/>
        </w:rPr>
        <w:t>20</w:t>
      </w:r>
      <w:bookmarkStart w:id="82" w:name="_GoBack"/>
      <w:bookmarkEnd w:id="82"/>
      <w:r>
        <w:rPr>
          <w:rFonts w:hint="eastAsia" w:ascii="宋体" w:hAnsi="宋体" w:eastAsia="宋体" w:cs="宋体"/>
          <w:sz w:val="21"/>
          <w:szCs w:val="21"/>
        </w:rPr>
        <w:t>日</w:t>
      </w:r>
    </w:p>
    <w:p w14:paraId="7C8E9F0C">
      <w:pPr>
        <w:spacing w:line="400" w:lineRule="exact"/>
        <w:jc w:val="right"/>
        <w:rPr>
          <w:rFonts w:ascii="宋体" w:hAnsi="宋体"/>
          <w:szCs w:val="21"/>
        </w:rPr>
      </w:pPr>
    </w:p>
    <w:p w14:paraId="6987BA9E">
      <w:pPr>
        <w:spacing w:line="400" w:lineRule="exact"/>
        <w:jc w:val="right"/>
        <w:rPr>
          <w:rFonts w:ascii="宋体" w:hAnsi="宋体"/>
          <w:szCs w:val="21"/>
        </w:rPr>
      </w:pPr>
    </w:p>
    <w:p w14:paraId="1AF25C8C">
      <w:pPr>
        <w:spacing w:line="400" w:lineRule="exact"/>
        <w:jc w:val="right"/>
        <w:rPr>
          <w:rFonts w:ascii="宋体" w:hAnsi="宋体"/>
          <w:szCs w:val="21"/>
        </w:rPr>
      </w:pPr>
    </w:p>
    <w:p w14:paraId="08FFFDB3">
      <w:pPr>
        <w:rPr>
          <w:rFonts w:hint="eastAsia" w:ascii="宋体" w:hAnsi="宋体"/>
          <w:b/>
          <w:bCs/>
          <w:kern w:val="0"/>
          <w:sz w:val="24"/>
          <w:szCs w:val="20"/>
        </w:rPr>
      </w:pPr>
      <w:r>
        <w:rPr>
          <w:rFonts w:hint="eastAsia" w:ascii="宋体" w:hAnsi="宋体"/>
          <w:b/>
          <w:bCs/>
          <w:kern w:val="0"/>
          <w:sz w:val="24"/>
          <w:szCs w:val="20"/>
        </w:rPr>
        <w:br w:type="page"/>
      </w:r>
    </w:p>
    <w:p w14:paraId="0DDAC345">
      <w:pPr>
        <w:keepNext/>
        <w:keepLines/>
        <w:adjustRightInd w:val="0"/>
        <w:spacing w:before="260" w:after="260"/>
        <w:jc w:val="center"/>
        <w:textAlignment w:val="baseline"/>
        <w:outlineLvl w:val="1"/>
        <w:rPr>
          <w:rFonts w:ascii="宋体" w:hAnsi="宋体"/>
          <w:b/>
          <w:bCs/>
          <w:kern w:val="0"/>
          <w:sz w:val="24"/>
          <w:szCs w:val="20"/>
        </w:rPr>
      </w:pPr>
      <w:r>
        <w:rPr>
          <w:rFonts w:hint="eastAsia" w:ascii="宋体" w:hAnsi="宋体"/>
          <w:b/>
          <w:bCs/>
          <w:kern w:val="0"/>
          <w:sz w:val="24"/>
          <w:szCs w:val="20"/>
        </w:rPr>
        <w:t>第二章  招标项目需求</w:t>
      </w:r>
    </w:p>
    <w:p w14:paraId="48A546D3">
      <w:pPr>
        <w:keepNext/>
        <w:keepLines/>
        <w:adjustRightInd w:val="0"/>
        <w:spacing w:beforeLines="50" w:afterLines="50"/>
        <w:jc w:val="center"/>
        <w:textAlignment w:val="baseline"/>
        <w:outlineLvl w:val="1"/>
        <w:rPr>
          <w:rFonts w:ascii="宋体" w:hAnsi="宋体"/>
          <w:b/>
          <w:bCs/>
          <w:kern w:val="0"/>
          <w:sz w:val="28"/>
          <w:szCs w:val="28"/>
        </w:rPr>
      </w:pPr>
      <w:bookmarkStart w:id="0" w:name="_Toc101074876"/>
      <w:bookmarkStart w:id="1" w:name="_Toc73521547"/>
      <w:bookmarkStart w:id="2" w:name="_Toc60631620"/>
      <w:bookmarkStart w:id="3" w:name="_Toc60560625"/>
      <w:bookmarkStart w:id="4" w:name="_Toc73521635"/>
      <w:bookmarkStart w:id="5" w:name="_Toc100052364"/>
      <w:bookmarkStart w:id="6" w:name="_Toc73518117"/>
      <w:bookmarkStart w:id="7" w:name="_Toc73517639"/>
      <w:r>
        <w:rPr>
          <w:rFonts w:hint="eastAsia" w:ascii="宋体" w:hAnsi="宋体"/>
          <w:b/>
          <w:bCs/>
          <w:kern w:val="0"/>
          <w:sz w:val="28"/>
          <w:szCs w:val="28"/>
        </w:rPr>
        <w:t>一、对通用条款的补充内容</w:t>
      </w:r>
    </w:p>
    <w:bookmarkEnd w:id="0"/>
    <w:bookmarkEnd w:id="1"/>
    <w:bookmarkEnd w:id="2"/>
    <w:bookmarkEnd w:id="3"/>
    <w:bookmarkEnd w:id="4"/>
    <w:bookmarkEnd w:id="5"/>
    <w:bookmarkEnd w:id="6"/>
    <w:bookmarkEnd w:id="7"/>
    <w:tbl>
      <w:tblPr>
        <w:tblStyle w:val="4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07"/>
        <w:gridCol w:w="2160"/>
        <w:gridCol w:w="5400"/>
      </w:tblGrid>
      <w:tr w14:paraId="3EA5A8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086B7641">
            <w:pPr>
              <w:jc w:val="center"/>
              <w:rPr>
                <w:rFonts w:ascii="宋体" w:hAnsi="宋体"/>
                <w:b/>
                <w:bCs/>
                <w:szCs w:val="24"/>
              </w:rPr>
            </w:pPr>
            <w:r>
              <w:rPr>
                <w:rFonts w:hint="eastAsia" w:ascii="宋体" w:hAnsi="宋体"/>
                <w:b/>
                <w:bCs/>
                <w:szCs w:val="24"/>
              </w:rPr>
              <w:t>序号</w:t>
            </w:r>
          </w:p>
        </w:tc>
        <w:tc>
          <w:tcPr>
            <w:tcW w:w="2160" w:type="dxa"/>
            <w:vAlign w:val="center"/>
          </w:tcPr>
          <w:p w14:paraId="10780A5F">
            <w:pPr>
              <w:jc w:val="center"/>
              <w:rPr>
                <w:rFonts w:ascii="宋体" w:hAnsi="宋体"/>
                <w:b/>
                <w:bCs/>
                <w:szCs w:val="24"/>
              </w:rPr>
            </w:pPr>
            <w:r>
              <w:rPr>
                <w:rFonts w:hint="eastAsia" w:ascii="宋体" w:hAnsi="宋体"/>
                <w:b/>
                <w:bCs/>
                <w:szCs w:val="24"/>
              </w:rPr>
              <w:t>内   容</w:t>
            </w:r>
          </w:p>
        </w:tc>
        <w:tc>
          <w:tcPr>
            <w:tcW w:w="5400" w:type="dxa"/>
            <w:vAlign w:val="center"/>
          </w:tcPr>
          <w:p w14:paraId="4FD576BF">
            <w:pPr>
              <w:jc w:val="center"/>
              <w:rPr>
                <w:rFonts w:ascii="宋体" w:hAnsi="宋体"/>
                <w:b/>
                <w:bCs/>
                <w:szCs w:val="24"/>
              </w:rPr>
            </w:pPr>
            <w:r>
              <w:rPr>
                <w:rFonts w:hint="eastAsia" w:ascii="宋体" w:hAnsi="宋体"/>
                <w:b/>
                <w:bCs/>
                <w:szCs w:val="24"/>
              </w:rPr>
              <w:t>规      定</w:t>
            </w:r>
          </w:p>
        </w:tc>
      </w:tr>
      <w:tr w14:paraId="22063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47052309">
            <w:pPr>
              <w:jc w:val="center"/>
              <w:rPr>
                <w:rFonts w:ascii="宋体" w:hAnsi="宋体"/>
                <w:szCs w:val="24"/>
              </w:rPr>
            </w:pPr>
            <w:r>
              <w:rPr>
                <w:rFonts w:hint="eastAsia" w:ascii="宋体" w:hAnsi="宋体"/>
                <w:szCs w:val="24"/>
              </w:rPr>
              <w:t>1</w:t>
            </w:r>
          </w:p>
        </w:tc>
        <w:tc>
          <w:tcPr>
            <w:tcW w:w="2160" w:type="dxa"/>
            <w:vAlign w:val="center"/>
          </w:tcPr>
          <w:p w14:paraId="0B046D36">
            <w:pPr>
              <w:jc w:val="center"/>
              <w:rPr>
                <w:rFonts w:ascii="Times New Roman" w:hAnsi="Times New Roman"/>
                <w:szCs w:val="24"/>
              </w:rPr>
            </w:pPr>
            <w:r>
              <w:rPr>
                <w:rFonts w:hint="eastAsia" w:ascii="Times New Roman" w:hAnsi="Times New Roman"/>
                <w:szCs w:val="24"/>
              </w:rPr>
              <w:t>联合体投标</w:t>
            </w:r>
          </w:p>
        </w:tc>
        <w:tc>
          <w:tcPr>
            <w:tcW w:w="5400" w:type="dxa"/>
            <w:vAlign w:val="center"/>
          </w:tcPr>
          <w:p w14:paraId="1BB9E4CE">
            <w:pPr>
              <w:rPr>
                <w:rFonts w:ascii="宋体" w:hAnsi="宋体"/>
                <w:snapToGrid w:val="0"/>
                <w:kern w:val="0"/>
                <w:szCs w:val="32"/>
                <w:lang w:val="zh-CN"/>
              </w:rPr>
            </w:pPr>
            <w:r>
              <w:rPr>
                <w:rFonts w:hint="eastAsia" w:ascii="宋体" w:hAnsi="宋体"/>
                <w:snapToGrid w:val="0"/>
                <w:kern w:val="0"/>
                <w:szCs w:val="32"/>
                <w:lang w:val="zh-CN"/>
              </w:rPr>
              <w:t>见《招标公告》中“项目基本情况”部分的相关内容</w:t>
            </w:r>
          </w:p>
        </w:tc>
      </w:tr>
      <w:tr w14:paraId="37CA2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664BD1C2">
            <w:pPr>
              <w:jc w:val="center"/>
              <w:rPr>
                <w:rFonts w:ascii="宋体" w:hAnsi="宋体"/>
                <w:szCs w:val="24"/>
              </w:rPr>
            </w:pPr>
            <w:r>
              <w:rPr>
                <w:rFonts w:hint="eastAsia" w:ascii="宋体" w:hAnsi="宋体"/>
                <w:szCs w:val="24"/>
              </w:rPr>
              <w:t>2</w:t>
            </w:r>
          </w:p>
        </w:tc>
        <w:tc>
          <w:tcPr>
            <w:tcW w:w="2160" w:type="dxa"/>
            <w:vAlign w:val="center"/>
          </w:tcPr>
          <w:p w14:paraId="314ADD8E">
            <w:pPr>
              <w:jc w:val="center"/>
              <w:rPr>
                <w:rFonts w:ascii="宋体" w:hAnsi="宋体"/>
                <w:szCs w:val="24"/>
              </w:rPr>
            </w:pPr>
            <w:r>
              <w:rPr>
                <w:rFonts w:hint="eastAsia" w:ascii="宋体" w:hAnsi="宋体"/>
                <w:szCs w:val="24"/>
              </w:rPr>
              <w:t>投标有效期</w:t>
            </w:r>
          </w:p>
        </w:tc>
        <w:tc>
          <w:tcPr>
            <w:tcW w:w="5400" w:type="dxa"/>
            <w:vAlign w:val="center"/>
          </w:tcPr>
          <w:p w14:paraId="28D7AF0E">
            <w:pPr>
              <w:rPr>
                <w:rFonts w:ascii="宋体" w:hAnsi="宋体"/>
                <w:szCs w:val="24"/>
              </w:rPr>
            </w:pPr>
            <w:r>
              <w:rPr>
                <w:rFonts w:hint="eastAsia" w:ascii="宋体" w:hAnsi="宋体"/>
                <w:szCs w:val="24"/>
                <w:u w:val="single"/>
              </w:rPr>
              <w:t>90</w:t>
            </w:r>
            <w:r>
              <w:rPr>
                <w:rFonts w:ascii="宋体" w:hAnsi="宋体"/>
                <w:szCs w:val="24"/>
                <w:u w:val="single"/>
              </w:rPr>
              <w:t>日历天</w:t>
            </w:r>
            <w:r>
              <w:rPr>
                <w:rFonts w:ascii="宋体" w:hAnsi="宋体"/>
                <w:szCs w:val="24"/>
              </w:rPr>
              <w:t>（从投标截止之日算起）</w:t>
            </w:r>
          </w:p>
        </w:tc>
      </w:tr>
      <w:tr w14:paraId="05419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5" w:hRule="atLeast"/>
          <w:jc w:val="center"/>
        </w:trPr>
        <w:tc>
          <w:tcPr>
            <w:tcW w:w="807" w:type="dxa"/>
            <w:vAlign w:val="center"/>
          </w:tcPr>
          <w:p w14:paraId="135EB724">
            <w:pPr>
              <w:jc w:val="center"/>
              <w:rPr>
                <w:rFonts w:ascii="宋体" w:hAnsi="宋体"/>
                <w:szCs w:val="24"/>
              </w:rPr>
            </w:pPr>
            <w:r>
              <w:rPr>
                <w:rFonts w:hint="eastAsia" w:ascii="宋体" w:hAnsi="宋体"/>
                <w:szCs w:val="24"/>
              </w:rPr>
              <w:t>3</w:t>
            </w:r>
          </w:p>
        </w:tc>
        <w:tc>
          <w:tcPr>
            <w:tcW w:w="2160" w:type="dxa"/>
            <w:vAlign w:val="center"/>
          </w:tcPr>
          <w:p w14:paraId="46E9B8BD">
            <w:pPr>
              <w:jc w:val="center"/>
              <w:rPr>
                <w:rFonts w:ascii="宋体" w:hAnsi="宋体"/>
                <w:szCs w:val="24"/>
              </w:rPr>
            </w:pPr>
            <w:r>
              <w:rPr>
                <w:rFonts w:hint="eastAsia" w:ascii="宋体" w:hAnsi="宋体"/>
                <w:szCs w:val="24"/>
              </w:rPr>
              <w:t>投标人的替代方案</w:t>
            </w:r>
          </w:p>
        </w:tc>
        <w:tc>
          <w:tcPr>
            <w:tcW w:w="5400" w:type="dxa"/>
            <w:vAlign w:val="center"/>
          </w:tcPr>
          <w:p w14:paraId="5B5CE8A7">
            <w:pPr>
              <w:rPr>
                <w:rFonts w:ascii="宋体" w:hAnsi="宋体"/>
                <w:szCs w:val="24"/>
              </w:rPr>
            </w:pPr>
            <w:r>
              <w:rPr>
                <w:rFonts w:hint="eastAsia" w:ascii="宋体" w:hAnsi="宋体"/>
                <w:szCs w:val="24"/>
              </w:rPr>
              <w:t>不允许</w:t>
            </w:r>
          </w:p>
        </w:tc>
      </w:tr>
      <w:tr w14:paraId="437C0D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27CE9FE3">
            <w:pPr>
              <w:jc w:val="center"/>
              <w:rPr>
                <w:rFonts w:ascii="宋体" w:hAnsi="宋体"/>
                <w:szCs w:val="24"/>
              </w:rPr>
            </w:pPr>
            <w:r>
              <w:rPr>
                <w:rFonts w:hint="eastAsia" w:ascii="宋体" w:hAnsi="宋体"/>
                <w:szCs w:val="24"/>
              </w:rPr>
              <w:t>4</w:t>
            </w:r>
          </w:p>
        </w:tc>
        <w:tc>
          <w:tcPr>
            <w:tcW w:w="2160" w:type="dxa"/>
            <w:vAlign w:val="center"/>
          </w:tcPr>
          <w:p w14:paraId="4313621D">
            <w:pPr>
              <w:jc w:val="center"/>
              <w:rPr>
                <w:rFonts w:ascii="宋体" w:hAnsi="宋体"/>
                <w:szCs w:val="24"/>
              </w:rPr>
            </w:pPr>
            <w:r>
              <w:rPr>
                <w:rFonts w:hint="eastAsia" w:ascii="宋体" w:hAnsi="宋体"/>
                <w:szCs w:val="24"/>
              </w:rPr>
              <w:t>投标文件的投递</w:t>
            </w:r>
          </w:p>
        </w:tc>
        <w:tc>
          <w:tcPr>
            <w:tcW w:w="5400" w:type="dxa"/>
            <w:vAlign w:val="center"/>
          </w:tcPr>
          <w:p w14:paraId="6D5757FB">
            <w:pPr>
              <w:spacing w:line="360" w:lineRule="exact"/>
              <w:rPr>
                <w:rFonts w:ascii="宋体" w:hAnsi="宋体"/>
              </w:rPr>
            </w:pPr>
            <w:r>
              <w:rPr>
                <w:rFonts w:hint="eastAsia" w:ascii="宋体" w:hAnsi="宋体"/>
              </w:rPr>
              <w:t>本项目实行网上投标，投标人必须在招标文件规定的投标截止时间前登录“深圳政府采购智慧平台用户网上办事子系统”，使用“【我的项目】→【项目流程】→【递交投标(应答)文件】</w:t>
            </w:r>
            <w:r>
              <w:rPr>
                <w:rFonts w:ascii="宋体" w:hAnsi="宋体"/>
              </w:rPr>
              <w:t>”功能</w:t>
            </w:r>
            <w:r>
              <w:rPr>
                <w:rFonts w:hint="eastAsia" w:ascii="宋体" w:hAnsi="宋体"/>
              </w:rPr>
              <w:t>点，</w:t>
            </w:r>
            <w:r>
              <w:rPr>
                <w:rFonts w:ascii="宋体" w:hAnsi="宋体"/>
              </w:rPr>
              <w:t>将编制好的电子投标文件上传，投标文件大小不得超过</w:t>
            </w:r>
            <w:r>
              <w:rPr>
                <w:rFonts w:hint="eastAsia" w:ascii="宋体" w:hAnsi="宋体"/>
              </w:rPr>
              <w:t>20</w:t>
            </w:r>
            <w:r>
              <w:rPr>
                <w:rFonts w:ascii="宋体" w:hAnsi="宋体"/>
              </w:rPr>
              <w:t>0MB</w:t>
            </w:r>
            <w:r>
              <w:rPr>
                <w:rFonts w:hint="eastAsia" w:ascii="宋体" w:hAnsi="宋体" w:cs="宋体"/>
                <w:szCs w:val="21"/>
              </w:rPr>
              <w:t>，单个节点文件不能超过</w:t>
            </w:r>
            <w:r>
              <w:rPr>
                <w:rFonts w:ascii="宋体" w:hAnsi="宋体" w:cs="宋体"/>
                <w:szCs w:val="21"/>
              </w:rPr>
              <w:t>50M</w:t>
            </w:r>
            <w:r>
              <w:rPr>
                <w:rFonts w:hint="eastAsia" w:ascii="宋体" w:hAnsi="宋体" w:cs="宋体"/>
                <w:szCs w:val="21"/>
              </w:rPr>
              <w:t>B</w:t>
            </w:r>
            <w:r>
              <w:rPr>
                <w:rFonts w:hint="eastAsia" w:ascii="宋体" w:hAnsi="宋体"/>
              </w:rPr>
              <w:t>。</w:t>
            </w:r>
          </w:p>
        </w:tc>
      </w:tr>
      <w:tr w14:paraId="59FE2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36A1C7E2">
            <w:pPr>
              <w:jc w:val="center"/>
              <w:rPr>
                <w:rFonts w:ascii="宋体" w:hAnsi="宋体"/>
                <w:szCs w:val="24"/>
              </w:rPr>
            </w:pPr>
            <w:r>
              <w:rPr>
                <w:rFonts w:hint="eastAsia" w:ascii="宋体" w:hAnsi="宋体"/>
                <w:szCs w:val="24"/>
              </w:rPr>
              <w:t>5</w:t>
            </w:r>
          </w:p>
        </w:tc>
        <w:tc>
          <w:tcPr>
            <w:tcW w:w="2160" w:type="dxa"/>
            <w:vAlign w:val="center"/>
          </w:tcPr>
          <w:p w14:paraId="3FFBB985">
            <w:pPr>
              <w:jc w:val="center"/>
              <w:rPr>
                <w:rFonts w:ascii="宋体" w:hAnsi="宋体"/>
                <w:szCs w:val="24"/>
              </w:rPr>
            </w:pPr>
            <w:r>
              <w:rPr>
                <w:rFonts w:hint="eastAsia" w:ascii="宋体" w:hAnsi="宋体"/>
                <w:szCs w:val="24"/>
              </w:rPr>
              <w:t>中标服务费</w:t>
            </w:r>
          </w:p>
        </w:tc>
        <w:tc>
          <w:tcPr>
            <w:tcW w:w="5400" w:type="dxa"/>
            <w:vAlign w:val="center"/>
          </w:tcPr>
          <w:p w14:paraId="474903D6">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764022BF">
            <w:pPr>
              <w:spacing w:line="360" w:lineRule="exact"/>
              <w:rPr>
                <w:rFonts w:asciiTheme="minorEastAsia" w:hAnsiTheme="minorEastAsia" w:eastAsiaTheme="minorEastAsia"/>
                <w:szCs w:val="20"/>
              </w:rPr>
            </w:pPr>
            <w:r>
              <w:rPr>
                <w:rFonts w:hint="eastAsia" w:ascii="宋体"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szCs w:val="20"/>
              </w:rPr>
              <w:t>，费用下浮</w:t>
            </w:r>
            <w:r>
              <w:rPr>
                <w:rFonts w:hint="eastAsia" w:asciiTheme="minorEastAsia" w:hAnsiTheme="minorEastAsia" w:eastAsiaTheme="minorEastAsia"/>
                <w:szCs w:val="20"/>
                <w:u w:val="single"/>
              </w:rPr>
              <w:t xml:space="preserve">  </w:t>
            </w:r>
            <w:r>
              <w:rPr>
                <w:rFonts w:hint="eastAsia" w:asciiTheme="minorEastAsia" w:hAnsiTheme="minorEastAsia" w:eastAsiaTheme="minorEastAsia"/>
                <w:szCs w:val="20"/>
                <w:u w:val="single"/>
                <w:lang w:val="en-US" w:eastAsia="zh-CN"/>
              </w:rPr>
              <w:t>20</w:t>
            </w:r>
            <w:r>
              <w:rPr>
                <w:rFonts w:hint="eastAsia" w:asciiTheme="minorEastAsia" w:hAnsiTheme="minorEastAsia" w:eastAsiaTheme="minorEastAsia"/>
                <w:szCs w:val="20"/>
                <w:u w:val="single"/>
              </w:rPr>
              <w:t xml:space="preserve">  </w:t>
            </w:r>
            <w:r>
              <w:rPr>
                <w:rFonts w:hint="eastAsia" w:asciiTheme="minorEastAsia" w:hAnsiTheme="minorEastAsia" w:eastAsiaTheme="minorEastAsia"/>
                <w:szCs w:val="20"/>
              </w:rPr>
              <w:t>%，最低收取人民币</w:t>
            </w:r>
            <w:r>
              <w:rPr>
                <w:rFonts w:hint="eastAsia" w:asciiTheme="minorEastAsia" w:hAnsiTheme="minorEastAsia" w:eastAsiaTheme="minorEastAsia"/>
                <w:szCs w:val="20"/>
                <w:lang w:val="en-US" w:eastAsia="zh-CN"/>
              </w:rPr>
              <w:t>5</w:t>
            </w:r>
            <w:r>
              <w:rPr>
                <w:rFonts w:hint="eastAsia" w:asciiTheme="minorEastAsia" w:hAnsiTheme="minorEastAsia" w:eastAsiaTheme="minorEastAsia"/>
                <w:szCs w:val="20"/>
              </w:rPr>
              <w:t>000元。</w:t>
            </w:r>
          </w:p>
          <w:p w14:paraId="2BD2E046">
            <w:pPr>
              <w:spacing w:line="360" w:lineRule="exact"/>
              <w:rPr>
                <w:rFonts w:ascii="宋体" w:hAnsi="宋体"/>
              </w:rPr>
            </w:pPr>
            <w:r>
              <w:rPr>
                <w:rFonts w:hint="eastAsia" w:ascii="Times New Roman" w:hAnsi="宋体"/>
                <w:szCs w:val="24"/>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szCs w:val="24"/>
              </w:rPr>
              <w:t>，费用下浮</w:t>
            </w:r>
            <w:r>
              <w:rPr>
                <w:rFonts w:hint="eastAsia" w:asciiTheme="minorEastAsia" w:hAnsiTheme="minorEastAsia" w:eastAsiaTheme="minorEastAsia"/>
                <w:szCs w:val="24"/>
                <w:u w:val="single"/>
              </w:rPr>
              <w:t xml:space="preserve">  0  </w:t>
            </w:r>
            <w:r>
              <w:rPr>
                <w:rFonts w:hint="eastAsia" w:asciiTheme="minorEastAsia" w:hAnsiTheme="minorEastAsia" w:eastAsiaTheme="minorEastAsia"/>
                <w:szCs w:val="24"/>
              </w:rPr>
              <w:t>%，收取中标服务费：人民币</w:t>
            </w:r>
            <w:r>
              <w:rPr>
                <w:rFonts w:hint="eastAsia" w:asciiTheme="minorEastAsia" w:hAnsiTheme="minorEastAsia" w:eastAsiaTheme="minorEastAsia"/>
                <w:szCs w:val="24"/>
                <w:u w:val="single"/>
              </w:rPr>
              <w:t xml:space="preserve">       </w:t>
            </w:r>
            <w:r>
              <w:rPr>
                <w:rFonts w:hint="eastAsia" w:asciiTheme="minorEastAsia" w:hAnsiTheme="minorEastAsia" w:eastAsiaTheme="minorEastAsia"/>
                <w:szCs w:val="24"/>
              </w:rPr>
              <w:t>元。</w:t>
            </w:r>
          </w:p>
        </w:tc>
      </w:tr>
      <w:tr w14:paraId="0756A6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07" w:type="dxa"/>
            <w:vAlign w:val="center"/>
          </w:tcPr>
          <w:p w14:paraId="6B06AC7E">
            <w:pPr>
              <w:jc w:val="center"/>
              <w:rPr>
                <w:rFonts w:ascii="宋体" w:hAnsi="宋体"/>
                <w:szCs w:val="24"/>
              </w:rPr>
            </w:pPr>
            <w:r>
              <w:rPr>
                <w:rFonts w:hint="eastAsia" w:ascii="宋体" w:hAnsi="宋体"/>
                <w:szCs w:val="24"/>
              </w:rPr>
              <w:t>6</w:t>
            </w:r>
          </w:p>
        </w:tc>
        <w:tc>
          <w:tcPr>
            <w:tcW w:w="2160" w:type="dxa"/>
            <w:vAlign w:val="center"/>
          </w:tcPr>
          <w:p w14:paraId="17B7E012">
            <w:pPr>
              <w:jc w:val="center"/>
              <w:rPr>
                <w:rFonts w:ascii="宋体" w:hAnsi="宋体"/>
                <w:szCs w:val="24"/>
              </w:rPr>
            </w:pPr>
            <w:r>
              <w:rPr>
                <w:rFonts w:hint="eastAsia" w:ascii="宋体" w:hAnsi="宋体"/>
                <w:szCs w:val="24"/>
              </w:rPr>
              <w:t>履约保证金</w:t>
            </w:r>
          </w:p>
        </w:tc>
        <w:tc>
          <w:tcPr>
            <w:tcW w:w="5400" w:type="dxa"/>
            <w:vAlign w:val="center"/>
          </w:tcPr>
          <w:p w14:paraId="6A14B810">
            <w:pPr>
              <w:spacing w:line="360" w:lineRule="exact"/>
              <w:rPr>
                <w:rFonts w:ascii="宋体" w:hAnsi="宋体"/>
              </w:rPr>
            </w:pPr>
            <w:r>
              <w:rPr>
                <w:rFonts w:hint="eastAsia" w:ascii="宋体" w:hAnsi="宋体" w:eastAsia="MS Mincho" w:cs="MS Mincho"/>
                <w:sz w:val="24"/>
                <w:szCs w:val="24"/>
              </w:rPr>
              <w:t>☑</w:t>
            </w:r>
            <w:r>
              <w:rPr>
                <w:rFonts w:hint="eastAsia" w:ascii="宋体" w:hAnsi="宋体"/>
                <w:szCs w:val="24"/>
              </w:rPr>
              <w:t>本项目不收取履约保证金。</w:t>
            </w:r>
          </w:p>
        </w:tc>
      </w:tr>
    </w:tbl>
    <w:p w14:paraId="6AEA9746">
      <w:pPr>
        <w:rPr>
          <w:rFonts w:ascii="Times New Roman" w:hAnsi="Times New Roman"/>
          <w:b/>
          <w:szCs w:val="24"/>
        </w:rPr>
      </w:pPr>
      <w:r>
        <w:rPr>
          <w:rFonts w:hint="eastAsia" w:ascii="Times New Roman" w:hAnsi="Times New Roman"/>
          <w:szCs w:val="21"/>
        </w:rPr>
        <w:t xml:space="preserve">    备注：本表为通用条款相关内容的补充和明确，如与通用条款相冲突的以本表为准。</w:t>
      </w:r>
    </w:p>
    <w:p w14:paraId="76093FB9">
      <w:pPr>
        <w:rPr>
          <w:rFonts w:ascii="Times New Roman" w:hAnsi="Times New Roman"/>
          <w:b/>
          <w:szCs w:val="24"/>
        </w:rPr>
      </w:pPr>
    </w:p>
    <w:p w14:paraId="028B17DD">
      <w:pPr>
        <w:pStyle w:val="6"/>
        <w:spacing w:beforeLines="50" w:afterLines="50"/>
      </w:pPr>
      <w:bookmarkStart w:id="8" w:name="_Toc128884461"/>
      <w:r>
        <w:rPr>
          <w:rFonts w:hint="eastAsia"/>
          <w:b/>
          <w:bCs/>
          <w:sz w:val="28"/>
          <w:szCs w:val="28"/>
        </w:rPr>
        <w:t>二、实质性条款</w:t>
      </w:r>
    </w:p>
    <w:tbl>
      <w:tblPr>
        <w:tblStyle w:val="42"/>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658"/>
      </w:tblGrid>
      <w:tr w14:paraId="38A9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63BC810">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658" w:type="dxa"/>
            <w:vAlign w:val="center"/>
          </w:tcPr>
          <w:p w14:paraId="02BA06B2">
            <w:pPr>
              <w:adjustRightInd w:val="0"/>
              <w:snapToGrid w:val="0"/>
              <w:spacing w:line="360" w:lineRule="auto"/>
              <w:jc w:val="center"/>
              <w:rPr>
                <w:rFonts w:ascii="宋体" w:hAnsi="宋体"/>
                <w:kern w:val="0"/>
                <w:szCs w:val="21"/>
              </w:rPr>
            </w:pPr>
            <w:r>
              <w:rPr>
                <w:rFonts w:hint="eastAsia" w:ascii="宋体" w:hAnsi="宋体"/>
                <w:kern w:val="0"/>
                <w:szCs w:val="21"/>
              </w:rPr>
              <w:t>具体内容</w:t>
            </w:r>
          </w:p>
        </w:tc>
      </w:tr>
      <w:tr w14:paraId="67A4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2F9AD80">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658" w:type="dxa"/>
            <w:vAlign w:val="center"/>
          </w:tcPr>
          <w:p w14:paraId="3806CC0A">
            <w:pPr>
              <w:adjustRightInd w:val="0"/>
              <w:snapToGri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服务期限：</w:t>
            </w:r>
          </w:p>
          <w:p w14:paraId="353F3317">
            <w:p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eastAsia="zh-CN"/>
              </w:rPr>
              <w:t>自合同签订之日起至</w:t>
            </w:r>
            <w:r>
              <w:rPr>
                <w:rFonts w:hint="eastAsia" w:ascii="宋体" w:hAnsi="宋体" w:eastAsia="宋体" w:cs="宋体"/>
                <w:kern w:val="0"/>
                <w:szCs w:val="21"/>
                <w:lang w:val="en-US" w:eastAsia="zh-CN"/>
              </w:rPr>
              <w:t>2025年12月31日。</w:t>
            </w:r>
            <w:r>
              <w:rPr>
                <w:rFonts w:hint="eastAsia" w:ascii="宋体" w:hAnsi="宋体" w:eastAsia="宋体" w:cs="宋体"/>
                <w:kern w:val="0"/>
                <w:szCs w:val="21"/>
                <w:lang w:eastAsia="zh-CN"/>
              </w:rPr>
              <w:t>本项目为长期服务类项目，经</w:t>
            </w:r>
            <w:r>
              <w:rPr>
                <w:rFonts w:hint="eastAsia" w:ascii="宋体" w:hAnsi="宋体" w:eastAsia="宋体" w:cs="宋体"/>
                <w:kern w:val="0"/>
                <w:szCs w:val="21"/>
                <w:lang w:val="en-US" w:eastAsia="zh-CN"/>
              </w:rPr>
              <w:t>采购人</w:t>
            </w:r>
            <w:r>
              <w:rPr>
                <w:rFonts w:hint="eastAsia" w:ascii="宋体" w:hAnsi="宋体" w:eastAsia="宋体" w:cs="宋体"/>
                <w:kern w:val="0"/>
                <w:szCs w:val="21"/>
                <w:lang w:eastAsia="zh-CN"/>
              </w:rPr>
              <w:t>进行履约评价为优的可视情况决定是否续签，续签合同一年一签，最多可续签两次，合同最长期限不超过36个月，续签合同金额及实质性内容不得改变。</w:t>
            </w:r>
          </w:p>
        </w:tc>
      </w:tr>
      <w:tr w14:paraId="3C58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0D33ECE">
            <w:pPr>
              <w:adjustRightInd w:val="0"/>
              <w:snapToGrid w:val="0"/>
              <w:spacing w:line="360" w:lineRule="auto"/>
              <w:jc w:val="center"/>
              <w:rPr>
                <w:rFonts w:ascii="宋体" w:hAnsi="宋体"/>
                <w:kern w:val="0"/>
                <w:szCs w:val="21"/>
              </w:rPr>
            </w:pPr>
            <w:r>
              <w:rPr>
                <w:rFonts w:hint="eastAsia" w:ascii="宋体" w:hAnsi="宋体"/>
                <w:kern w:val="0"/>
                <w:szCs w:val="21"/>
              </w:rPr>
              <w:t>2</w:t>
            </w:r>
          </w:p>
        </w:tc>
        <w:tc>
          <w:tcPr>
            <w:tcW w:w="7658" w:type="dxa"/>
            <w:vAlign w:val="center"/>
          </w:tcPr>
          <w:p w14:paraId="2A5E952C">
            <w:pPr>
              <w:adjustRightInd w:val="0"/>
              <w:snapToGrid w:val="0"/>
              <w:spacing w:line="360" w:lineRule="auto"/>
              <w:jc w:val="left"/>
              <w:rPr>
                <w:rFonts w:hint="eastAsia" w:ascii="宋体" w:hAnsi="宋体" w:eastAsia="宋体" w:cs="宋体"/>
                <w:kern w:val="0"/>
                <w:szCs w:val="21"/>
              </w:rPr>
            </w:pPr>
            <w:r>
              <w:rPr>
                <w:rFonts w:hint="eastAsia" w:ascii="宋体" w:hAnsi="宋体" w:eastAsia="宋体" w:cs="宋体"/>
                <w:b w:val="0"/>
                <w:bCs w:val="0"/>
                <w:szCs w:val="21"/>
                <w:lang w:eastAsia="zh-CN"/>
              </w:rPr>
              <w:t>投标供应商须提供法定代表人（单位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社保证明的需提供情况说明并承诺与其他投标供应商之间不存在法定代表人（单位负责人）、项目投标授权代表人为同一人、属同一单位或者在同一单位缴纳社保的情况（格式自拟）。未按要求提供相关材料或投标供应商之间存在法定代表人（单位负责人）、项目投标授权代表人为同一人、属同一单位或者在同一单位缴纳社保的，按投标无效处理。</w:t>
            </w:r>
          </w:p>
        </w:tc>
      </w:tr>
    </w:tbl>
    <w:p w14:paraId="6F2A70AF">
      <w:pPr>
        <w:adjustRightInd w:val="0"/>
        <w:snapToGrid w:val="0"/>
        <w:spacing w:line="360" w:lineRule="auto"/>
        <w:ind w:firstLine="482" w:firstLineChars="200"/>
      </w:pPr>
      <w:r>
        <w:rPr>
          <w:rFonts w:hint="eastAsia" w:ascii="黑体"/>
          <w:b/>
          <w:kern w:val="0"/>
          <w:sz w:val="24"/>
        </w:rPr>
        <w:t>注：上表所列内容为不可负偏离的实质性条款。</w:t>
      </w:r>
    </w:p>
    <w:bookmarkEnd w:id="8"/>
    <w:p w14:paraId="1117B999">
      <w:pPr>
        <w:autoSpaceDE w:val="0"/>
        <w:autoSpaceDN w:val="0"/>
        <w:adjustRightInd w:val="0"/>
        <w:spacing w:line="360" w:lineRule="auto"/>
        <w:ind w:firstLine="424" w:firstLineChars="176"/>
        <w:jc w:val="left"/>
        <w:rPr>
          <w:rFonts w:ascii="宋体" w:hAnsi="宋体"/>
          <w:b/>
          <w:bCs/>
          <w:kern w:val="0"/>
          <w:sz w:val="24"/>
          <w:szCs w:val="20"/>
        </w:rPr>
      </w:pPr>
    </w:p>
    <w:p w14:paraId="4AF4FBA0">
      <w:pPr>
        <w:pStyle w:val="2"/>
        <w:jc w:val="center"/>
        <w:rPr>
          <w:rFonts w:ascii="宋体" w:hAnsi="宋体"/>
          <w:sz w:val="28"/>
          <w:szCs w:val="28"/>
        </w:rPr>
      </w:pPr>
      <w:r>
        <w:rPr>
          <w:rFonts w:hint="eastAsia" w:ascii="宋体" w:hAnsi="宋体"/>
          <w:sz w:val="28"/>
          <w:szCs w:val="28"/>
        </w:rPr>
        <w:t>三、项目概况</w:t>
      </w:r>
    </w:p>
    <w:p w14:paraId="1C3A5D36">
      <w:pPr>
        <w:pStyle w:val="2"/>
      </w:pPr>
      <w:r>
        <w:rPr>
          <w:rFonts w:hint="eastAsia"/>
        </w:rPr>
        <w:t>（一）采购需求</w:t>
      </w:r>
    </w:p>
    <w:tbl>
      <w:tblPr>
        <w:tblStyle w:val="42"/>
        <w:tblW w:w="9590" w:type="dxa"/>
        <w:tblInd w:w="0" w:type="dxa"/>
        <w:tblLayout w:type="fixed"/>
        <w:tblCellMar>
          <w:top w:w="15" w:type="dxa"/>
          <w:left w:w="15" w:type="dxa"/>
          <w:bottom w:w="15" w:type="dxa"/>
          <w:right w:w="15" w:type="dxa"/>
        </w:tblCellMar>
      </w:tblPr>
      <w:tblGrid>
        <w:gridCol w:w="866"/>
        <w:gridCol w:w="3685"/>
        <w:gridCol w:w="921"/>
        <w:gridCol w:w="922"/>
        <w:gridCol w:w="1701"/>
        <w:gridCol w:w="1495"/>
      </w:tblGrid>
      <w:tr w14:paraId="1AE102AF">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BE8B4F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0084E9D9">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5DFCB2A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2511962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3130BEC7">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1403D33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495" w:type="dxa"/>
            <w:tcBorders>
              <w:top w:val="single" w:color="000000" w:sz="4" w:space="0"/>
              <w:left w:val="single" w:color="000000" w:sz="4" w:space="0"/>
              <w:bottom w:val="single" w:color="000000" w:sz="4" w:space="0"/>
              <w:right w:val="single" w:color="000000" w:sz="4" w:space="0"/>
            </w:tcBorders>
            <w:vAlign w:val="center"/>
          </w:tcPr>
          <w:p w14:paraId="522A454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43913CCE">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19F27E44">
            <w:pPr>
              <w:widowControl/>
              <w:adjustRightInd w:val="0"/>
              <w:snapToGrid w:val="0"/>
              <w:spacing w:line="360" w:lineRule="auto"/>
              <w:jc w:val="center"/>
              <w:textAlignment w:val="center"/>
              <w:rPr>
                <w:rFonts w:ascii="宋体" w:hAnsi="宋体" w:cs="宋体"/>
                <w:szCs w:val="21"/>
              </w:rPr>
            </w:pPr>
            <w:r>
              <w:rPr>
                <w:rFonts w:hint="eastAsia" w:ascii="Times New Roman" w:hAnsi="Times New Roman"/>
                <w:szCs w:val="24"/>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13A668B5">
            <w:pPr>
              <w:widowControl/>
              <w:adjustRightInd w:val="0"/>
              <w:snapToGrid w:val="0"/>
              <w:spacing w:line="360" w:lineRule="auto"/>
              <w:jc w:val="center"/>
              <w:textAlignment w:val="center"/>
              <w:rPr>
                <w:rFonts w:hint="eastAsia" w:ascii="宋体" w:hAnsi="宋体" w:eastAsia="宋体" w:cs="宋体"/>
                <w:szCs w:val="21"/>
                <w:lang w:eastAsia="zh-CN"/>
              </w:rPr>
            </w:pPr>
            <w:r>
              <w:rPr>
                <w:rFonts w:hint="eastAsia" w:ascii="宋体" w:hAnsi="宋体"/>
                <w:snapToGrid w:val="0"/>
                <w:szCs w:val="21"/>
                <w:lang w:eastAsia="zh-CN"/>
              </w:rPr>
              <w:t>2025年网络安全保障服务项目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526072F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362ACABB">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597F422">
            <w:pPr>
              <w:widowControl/>
              <w:adjustRightInd w:val="0"/>
              <w:snapToGrid w:val="0"/>
              <w:spacing w:line="360" w:lineRule="auto"/>
              <w:jc w:val="center"/>
              <w:textAlignment w:val="center"/>
              <w:rPr>
                <w:rFonts w:hint="default" w:ascii="宋体" w:hAnsi="宋体" w:eastAsia="宋体" w:cs="宋体"/>
                <w:szCs w:val="21"/>
                <w:lang w:val="en-US" w:eastAsia="zh-CN"/>
              </w:rPr>
            </w:pPr>
            <w:r>
              <w:rPr>
                <w:rFonts w:hint="default" w:ascii="宋体" w:hAnsi="宋体" w:eastAsia="宋体" w:cs="宋体"/>
                <w:szCs w:val="21"/>
                <w:lang w:val="en-US" w:eastAsia="zh-CN"/>
              </w:rPr>
              <w:t>1</w:t>
            </w:r>
            <w:r>
              <w:rPr>
                <w:rFonts w:hint="eastAsia" w:ascii="宋体" w:hAnsi="宋体" w:cs="宋体"/>
                <w:szCs w:val="21"/>
                <w:lang w:val="en-US" w:eastAsia="zh-CN"/>
              </w:rPr>
              <w:t>,</w:t>
            </w:r>
            <w:r>
              <w:rPr>
                <w:rFonts w:hint="default" w:ascii="宋体" w:hAnsi="宋体" w:eastAsia="宋体" w:cs="宋体"/>
                <w:szCs w:val="21"/>
                <w:lang w:val="en-US" w:eastAsia="zh-CN"/>
              </w:rPr>
              <w:t>100</w:t>
            </w:r>
            <w:r>
              <w:rPr>
                <w:rFonts w:hint="eastAsia" w:ascii="宋体" w:hAnsi="宋体" w:cs="宋体"/>
                <w:szCs w:val="21"/>
                <w:lang w:val="en-US" w:eastAsia="zh-CN"/>
              </w:rPr>
              <w:t>,</w:t>
            </w:r>
            <w:r>
              <w:rPr>
                <w:rFonts w:hint="default" w:ascii="宋体" w:hAnsi="宋体" w:eastAsia="宋体" w:cs="宋体"/>
                <w:szCs w:val="21"/>
                <w:lang w:val="en-US" w:eastAsia="zh-CN"/>
              </w:rPr>
              <w:t>000.00</w:t>
            </w:r>
          </w:p>
        </w:tc>
        <w:tc>
          <w:tcPr>
            <w:tcW w:w="1495" w:type="dxa"/>
            <w:tcBorders>
              <w:top w:val="single" w:color="000000" w:sz="4" w:space="0"/>
              <w:left w:val="single" w:color="000000" w:sz="4" w:space="0"/>
              <w:bottom w:val="single" w:color="000000" w:sz="4" w:space="0"/>
              <w:right w:val="single" w:color="000000" w:sz="4" w:space="0"/>
            </w:tcBorders>
            <w:vAlign w:val="center"/>
          </w:tcPr>
          <w:p w14:paraId="54D812B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14A6C2F0">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备注：</w:t>
      </w:r>
    </w:p>
    <w:p w14:paraId="603E6F07">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1、本项目需求中出现的工艺、材料、设备或参照的品牌等仅为方便描述而没有限制性，投标人可以在其提供的文件资料中选用替代标准，但这些替代标准要优于或相当于项目需求中要求的标准。</w:t>
      </w:r>
    </w:p>
    <w:p w14:paraId="62825259">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2、如要求提供证明材料，投标文件需提供相应证明材料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那份证明材料作为判断是否符合采购需求的响应内容。</w:t>
      </w:r>
    </w:p>
    <w:p w14:paraId="62073348">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rPr>
        <w:t>3、投标人提供证书或检测报告等证明材料的，颁发证书、出具报告的机构须是合法设立的机构，且具有颁发相应证书或者出具相应报告的资质。</w:t>
      </w:r>
    </w:p>
    <w:p w14:paraId="1EE71C2D">
      <w:pPr>
        <w:autoSpaceDE w:val="0"/>
        <w:autoSpaceDN w:val="0"/>
        <w:adjustRightInd w:val="0"/>
        <w:spacing w:line="360" w:lineRule="auto"/>
        <w:ind w:firstLine="424" w:firstLineChars="176"/>
        <w:jc w:val="left"/>
        <w:rPr>
          <w:rFonts w:ascii="仿宋_GB2312" w:hAnsi="Times New Roman" w:eastAsia="仿宋_GB2312"/>
          <w:b/>
          <w:sz w:val="24"/>
          <w:szCs w:val="24"/>
        </w:rPr>
      </w:pPr>
      <w:r>
        <w:rPr>
          <w:rFonts w:hint="eastAsia" w:ascii="仿宋_GB2312" w:hAnsi="Times New Roman" w:eastAsia="仿宋_GB2312"/>
          <w:b/>
          <w:sz w:val="24"/>
          <w:szCs w:val="24"/>
          <w:highlight w:val="yellow"/>
        </w:rPr>
        <w:t>4、加注★的条款为不可负偏离的实质性条款，任一项未响应或不满足要求的，将导致投标无效。</w:t>
      </w:r>
    </w:p>
    <w:p w14:paraId="6B94CF40">
      <w:pPr>
        <w:autoSpaceDE w:val="0"/>
        <w:autoSpaceDN w:val="0"/>
        <w:adjustRightInd w:val="0"/>
        <w:spacing w:line="360" w:lineRule="auto"/>
        <w:ind w:firstLine="424" w:firstLineChars="176"/>
        <w:jc w:val="left"/>
        <w:rPr>
          <w:rFonts w:ascii="宋体" w:hAnsi="宋体"/>
          <w:b/>
          <w:bCs/>
          <w:kern w:val="0"/>
          <w:sz w:val="24"/>
          <w:szCs w:val="20"/>
        </w:rPr>
      </w:pPr>
    </w:p>
    <w:p w14:paraId="289BEAEA">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四、项目服务要求</w:t>
      </w:r>
    </w:p>
    <w:p w14:paraId="4F3F4648">
      <w:pPr>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（一）</w:t>
      </w:r>
      <w:r>
        <w:rPr>
          <w:rFonts w:hint="eastAsia" w:ascii="宋体" w:hAnsi="宋体" w:eastAsia="宋体" w:cs="宋体"/>
          <w:sz w:val="21"/>
          <w:szCs w:val="21"/>
        </w:rPr>
        <w:t>服务范围</w:t>
      </w:r>
      <w:r>
        <w:rPr>
          <w:rFonts w:hint="eastAsia" w:ascii="宋体" w:hAnsi="宋体" w:eastAsia="宋体" w:cs="宋体"/>
          <w:sz w:val="21"/>
          <w:szCs w:val="21"/>
          <w:lang w:eastAsia="zh-CN"/>
        </w:rPr>
        <w:t>：</w:t>
      </w:r>
    </w:p>
    <w:p w14:paraId="5E728262">
      <w:pPr>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按照市委网信办和市政务服务数据管理局等主管部门安排时间以及深圳市应急管理局内实际情况协助完成各项网络安全保障工作。</w:t>
      </w:r>
    </w:p>
    <w:p w14:paraId="43DD0775">
      <w:pPr>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2"/>
          <w:sz w:val="21"/>
          <w:szCs w:val="21"/>
          <w:lang w:val="en-US" w:eastAsia="zh-CN" w:bidi="ar-SA"/>
        </w:rPr>
        <w:t>（二）</w:t>
      </w:r>
      <w:r>
        <w:rPr>
          <w:rFonts w:hint="eastAsia" w:ascii="宋体" w:hAnsi="宋体" w:eastAsia="宋体" w:cs="宋体"/>
          <w:sz w:val="21"/>
          <w:szCs w:val="21"/>
        </w:rPr>
        <w:t>服务内容</w:t>
      </w:r>
      <w:r>
        <w:rPr>
          <w:rFonts w:hint="eastAsia" w:ascii="宋体" w:hAnsi="宋体" w:eastAsia="宋体" w:cs="宋体"/>
          <w:sz w:val="21"/>
          <w:szCs w:val="21"/>
          <w:lang w:eastAsia="zh-CN"/>
        </w:rPr>
        <w:t>：</w:t>
      </w:r>
    </w:p>
    <w:p w14:paraId="5BBE14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1.网络安全制度修编与落实：根据2025年度网络安全和绩效考核的最新要求，协助修编深圳市应急管理局网络安全制度，并检查指导落实。</w:t>
      </w:r>
    </w:p>
    <w:p w14:paraId="7F1815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2.信息系统等级保护顾问咨询：根据《网络安全法》及网络安全主管部门要求，指导信息系统开展定级备案，对二级及以上的信息系统开展等级保护测评和安全整改工作。</w:t>
      </w:r>
    </w:p>
    <w:p w14:paraId="12D1BD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风险评估服务：根据《深圳市信息安全风险评估实施指南》要求，采用人员和工具相结合的方式，协助对信息系统、网站、服务器等信息化资产开展风险评估工作，包括但不限于漏洞扫描、代码安全检测等技术手段，对安全隐患进行安全整改加固，需自备服务工具，如漏洞扫描设备或代码安全检测工具。</w:t>
      </w:r>
    </w:p>
    <w:p w14:paraId="49B13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网络安全应急预案修编及常态化攻防演练：梳理现有应急处置队伍，协助制定网络安全应急演练计划和方案；参照“深蓝”“粤盾”“粤网安”演练模式，2025年上半年和下半年各组织一次，且至少三家网络安全行业头部企业开展深圳市应急管理局内部网络安全实战攻防应急演练；协助做好部、省、市网络安全实战攻防演练防守保障工作，需自备威胁监测工具，用于攻防演练的技术支撑；不断挖掘潜在的安全隐患，落实网络安全问题整改工作，根据实际协助修编应急预案；同时，按要求协助录制剪辑视频上报主管部门。</w:t>
      </w:r>
    </w:p>
    <w:p w14:paraId="7696E8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安全防护措施落实：根据信息系统等级保护测评指标、深圳市网络安全主管单位安全技术防护检测要求，不定期对网络边界安全访问控制措施，信息系统、网站、服务器的安全策略和安全防护措施等进行自查和整改并确保安全防护措施有效落实。</w:t>
      </w:r>
    </w:p>
    <w:p w14:paraId="5BB695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6.安全隐患排查及整改：每季度协助深圳市应急管理局对全局信息系统、服务器、终端开展安全扫描和检测，发现问题的及时整改。</w:t>
      </w:r>
    </w:p>
    <w:p w14:paraId="169D76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7.网站云安全检测：通过云架构形式协助实现对门户网站主体的全方位监测，监测内容涵盖网站服务可用性、漏洞、敏感信息、篡改监测等。</w:t>
      </w:r>
    </w:p>
    <w:p w14:paraId="0EADB1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8.网站安全检测：每季度协助深圳市应急管理局定期对网站开展安全检测、暗链检查、安全隐患排查，与网站运维单位确认网站后台安全情况。</w:t>
      </w:r>
    </w:p>
    <w:p w14:paraId="5B6DC0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9.安全渗透测试：协助对全局信息系统开展渗透测试，需自备至少一套自动化渗透测试工具，采用人员和工具相结合的方式，至少测试40次。测试完成后，提供10个及以上高中危安全漏洞报告并给出修复方案。</w:t>
      </w:r>
    </w:p>
    <w:p w14:paraId="0290A7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10.终端安全检查：梳理和分析深圳市应急管理局办公终端安全现状，监控和执行终端及相关设备的补丁升级、病毒库推送、上网行为日志管理等工作。</w:t>
      </w:r>
    </w:p>
    <w:p w14:paraId="39B6BB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11.移动应用安全检测：对移动APP开展深度漏洞检测，检测范围包含APP客户端、通信链路和服务器端。</w:t>
      </w:r>
    </w:p>
    <w:p w14:paraId="19068A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12.移动APP安全加固：提供至少10次移动应用的安全加固，确保用户APP满足安全合规要求，防止移动APP被篡改、逆向破解，防止核心代码及业务逻辑泄漏。</w:t>
      </w:r>
    </w:p>
    <w:p w14:paraId="3D7964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网络安全通报：根据相关通报要求，指导开展信息系统、服务器、网站等安全隐患排查和整改工作；每月协助整理《网络安全月报》，不定期根据相关文件提供《网络安全通报》，通报国内外安全行业动态、安全漏洞通报或病毒安全通报等内容。</w:t>
      </w:r>
    </w:p>
    <w:p w14:paraId="5B20FE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14.网络安全指导：制定全局网络安全意识宣贯计划，安排网络安全专家指导网络安全技术防护措施，现场指导和分析案例，并组织全局网络安全培训。</w:t>
      </w:r>
    </w:p>
    <w:p w14:paraId="6F782B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15.网络安全联合检查：按照联合检查现场检查工作要求，完成检查所需文档资料的编制、印制工作，协助完成现场检查。</w:t>
      </w:r>
    </w:p>
    <w:p w14:paraId="759AB5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16.网络安全绩效评估：按照2025年绩效考核方案，对接市委网信办、市政务服务数据管理局等单位，依据各项检查指标对全局进行网络安全自查并指导整改工作。</w:t>
      </w:r>
    </w:p>
    <w:p w14:paraId="546191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网络安全应急响应服务：提供7x24小时重大安全事件的应急响应服务，主要针对突发的网站安全故障、网络安全事件、应用系统安全事件、主机安全事件、黑客攻击事件等进行诊断、分析并协助解决；做好现场处置记录，处置后提交事件处置报告。</w:t>
      </w:r>
    </w:p>
    <w:p w14:paraId="10EBE6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18.驻点安全服务工作：安排1名专职技术人员提供驻场办公服务，优化网络安全体系，保障全局整体网络安全工作。</w:t>
      </w:r>
    </w:p>
    <w:p w14:paraId="398489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19.直属事业单位网络安全检查服务：按照深圳市相关文件要求，指导开展直属事业单位的网络安全检查工作。</w:t>
      </w:r>
    </w:p>
    <w:p w14:paraId="5E31CD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20.完善数据分类分级制度：根据国家、省、市对数据安全相关要求，结合深圳市应急管理局实际，持续修订和完善全局数据分类分级制度指引。</w:t>
      </w:r>
    </w:p>
    <w:p w14:paraId="0899EA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21.强化数据安全技术保护措施：对所有信息系统开展加密、脱敏、防泄漏、水印和审计等防护技术自查，并开展数据安全自评估，确保信息系统数据安全技术保护措施落实到位。</w:t>
      </w:r>
    </w:p>
    <w:p w14:paraId="34337B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22.规范供应链安全管理：持续梳理深圳市应急管理局信息化建设供应链，整理供应商设备及系统清单，完善供应链安全管理底数，动态更新，同时加强对供应商人员背景审查和保密管理要求。</w:t>
      </w:r>
    </w:p>
    <w:p w14:paraId="1BBDDE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23.加强开发运维管控：对各信息系统的特权帐号、业务功能账号和数据访问账号进行分级分类管理，建立审批机制，加强供应商人员和生产端数据权限管理。</w:t>
      </w:r>
    </w:p>
    <w:p w14:paraId="779CFB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24.重点时期保障：提供节假日重点时期的网络安全加强保障工作，重点保障期间需加派人员和资源提升市应急管理局的网络安全防护力度，确保全局网络和数据安全。</w:t>
      </w:r>
    </w:p>
    <w:p w14:paraId="788544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25.网络威胁监测和分析：提供网络威胁监测分析工具，通过流量采集，进行网络威胁分析和安全监测，实时监测并识别深圳市应急管理局网络攻击事件，按需输出网络威胁监测报告。</w:t>
      </w:r>
    </w:p>
    <w:p w14:paraId="1EFA13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26.API接口安全监测：提供API安全监测工具，通过对API流量的识别和监测，识别API资产，发现流量中的API漏洞和API攻击事件，按需输出API安全监测报告。</w:t>
      </w:r>
    </w:p>
    <w:p w14:paraId="57D4EA05">
      <w:pPr>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（三）</w:t>
      </w:r>
      <w:r>
        <w:rPr>
          <w:rFonts w:hint="eastAsia" w:ascii="宋体" w:hAnsi="宋体" w:eastAsia="宋体" w:cs="宋体"/>
          <w:sz w:val="21"/>
          <w:szCs w:val="21"/>
        </w:rPr>
        <w:t>人员要求（岗位要求、数量）</w:t>
      </w:r>
      <w:r>
        <w:rPr>
          <w:rFonts w:hint="eastAsia" w:ascii="宋体" w:hAnsi="宋体" w:eastAsia="宋体" w:cs="宋体"/>
          <w:sz w:val="21"/>
          <w:szCs w:val="21"/>
          <w:lang w:eastAsia="zh-CN"/>
        </w:rPr>
        <w:t>：</w:t>
      </w:r>
    </w:p>
    <w:p w14:paraId="5C2AD095">
      <w:pPr>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项目团队人员至少</w:t>
      </w:r>
      <w:r>
        <w:rPr>
          <w:rFonts w:hint="eastAsia" w:ascii="宋体" w:hAnsi="宋体" w:eastAsia="宋体" w:cs="宋体"/>
          <w:sz w:val="21"/>
          <w:szCs w:val="21"/>
          <w:lang w:val="en-US" w:eastAsia="zh-CN"/>
        </w:rPr>
        <w:t>6人，至少包含1名项目负责人，1名项目咨询专家，1名专职驻场工程师，1名项目攻防专家与2名安全服务专家团队成员。项目团队人员原则上不得更换，如有特殊情况需更换项目组人员，需与投标资质相符并取得甲方书面同意。如甲方不同意不得更换项目组人员。</w:t>
      </w:r>
    </w:p>
    <w:p w14:paraId="71EF11FC">
      <w:pPr>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（四）</w:t>
      </w:r>
      <w:r>
        <w:rPr>
          <w:rFonts w:hint="eastAsia" w:ascii="宋体" w:hAnsi="宋体" w:eastAsia="宋体" w:cs="宋体"/>
          <w:sz w:val="21"/>
          <w:szCs w:val="21"/>
        </w:rPr>
        <w:t>设备要求（设备名称、数量）</w:t>
      </w:r>
      <w:r>
        <w:rPr>
          <w:rFonts w:hint="eastAsia" w:ascii="宋体" w:hAnsi="宋体" w:eastAsia="宋体" w:cs="宋体"/>
          <w:sz w:val="21"/>
          <w:szCs w:val="21"/>
          <w:lang w:eastAsia="zh-CN"/>
        </w:rPr>
        <w:t>：</w:t>
      </w:r>
    </w:p>
    <w:p w14:paraId="7EA9AE04">
      <w:pPr>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具有</w:t>
      </w:r>
      <w:r>
        <w:rPr>
          <w:rFonts w:hint="eastAsia" w:ascii="宋体" w:hAnsi="宋体" w:eastAsia="宋体" w:cs="宋体"/>
          <w:sz w:val="21"/>
          <w:szCs w:val="21"/>
        </w:rPr>
        <w:t>自行开发或购买或租赁的服务工具</w:t>
      </w:r>
      <w:r>
        <w:rPr>
          <w:rFonts w:hint="eastAsia" w:ascii="宋体" w:hAnsi="宋体" w:eastAsia="宋体" w:cs="宋体"/>
          <w:sz w:val="21"/>
          <w:szCs w:val="21"/>
          <w:lang w:eastAsia="zh-CN"/>
        </w:rPr>
        <w:t>，包括：漏洞扫描工具、威胁监测工具、自动化渗透测试工具、代码安全检测工具。</w:t>
      </w:r>
    </w:p>
    <w:p w14:paraId="46AF90DB">
      <w:pPr>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kern w:val="2"/>
          <w:sz w:val="21"/>
          <w:szCs w:val="21"/>
          <w:lang w:val="en-US" w:eastAsia="zh-CN" w:bidi="ar-SA"/>
        </w:rPr>
        <w:t>（五）</w:t>
      </w:r>
      <w:r>
        <w:rPr>
          <w:rFonts w:hint="eastAsia" w:ascii="宋体" w:hAnsi="宋体" w:eastAsia="宋体" w:cs="宋体"/>
          <w:sz w:val="21"/>
          <w:szCs w:val="21"/>
        </w:rPr>
        <w:t>后续服务要求</w:t>
      </w:r>
      <w:r>
        <w:rPr>
          <w:rFonts w:hint="eastAsia" w:ascii="宋体" w:hAnsi="宋体" w:eastAsia="宋体" w:cs="宋体"/>
          <w:sz w:val="21"/>
          <w:szCs w:val="21"/>
          <w:lang w:eastAsia="zh-CN"/>
        </w:rPr>
        <w:t>：</w:t>
      </w:r>
    </w:p>
    <w:p w14:paraId="6C62BFD9">
      <w:pPr>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提供相关咨询及资料。</w:t>
      </w:r>
    </w:p>
    <w:p w14:paraId="3DD9353D">
      <w:pPr>
        <w:keepNext/>
        <w:keepLines/>
        <w:pageBreakBefore w:val="0"/>
        <w:widowControl w:val="0"/>
        <w:kinsoku/>
        <w:wordWrap/>
        <w:overflowPunct/>
        <w:topLinePunct w:val="0"/>
        <w:autoSpaceDE/>
        <w:autoSpaceDN/>
        <w:bidi w:val="0"/>
        <w:adjustRightInd w:val="0"/>
        <w:snapToGrid/>
        <w:spacing w:line="360" w:lineRule="auto"/>
        <w:ind w:firstLine="422" w:firstLineChars="200"/>
        <w:jc w:val="left"/>
        <w:textAlignment w:val="baseline"/>
        <w:outlineLvl w:val="1"/>
        <w:rPr>
          <w:rFonts w:hint="eastAsia" w:ascii="宋体" w:hAnsi="宋体" w:eastAsia="宋体" w:cs="宋体"/>
          <w:b/>
          <w:bCs/>
          <w:kern w:val="0"/>
          <w:sz w:val="21"/>
          <w:szCs w:val="21"/>
        </w:rPr>
      </w:pPr>
    </w:p>
    <w:p w14:paraId="7EF2821B">
      <w:pPr>
        <w:keepNext/>
        <w:keepLines/>
        <w:adjustRightInd w:val="0"/>
        <w:spacing w:beforeLines="50" w:afterLines="50"/>
        <w:jc w:val="center"/>
        <w:textAlignment w:val="baseline"/>
        <w:outlineLvl w:val="1"/>
        <w:rPr>
          <w:rFonts w:ascii="宋体" w:hAnsi="宋体"/>
          <w:b/>
          <w:bCs/>
          <w:kern w:val="0"/>
          <w:sz w:val="28"/>
          <w:szCs w:val="28"/>
        </w:rPr>
      </w:pPr>
      <w:r>
        <w:rPr>
          <w:rFonts w:hint="eastAsia" w:ascii="宋体" w:hAnsi="宋体"/>
          <w:b/>
          <w:bCs/>
          <w:kern w:val="0"/>
          <w:sz w:val="28"/>
          <w:szCs w:val="28"/>
        </w:rPr>
        <w:t>五、项目商务要求</w:t>
      </w:r>
    </w:p>
    <w:p w14:paraId="27E8A03B">
      <w:pPr>
        <w:spacing w:line="360" w:lineRule="auto"/>
        <w:rPr>
          <w:rFonts w:asciiTheme="minorEastAsia" w:hAnsiTheme="minorEastAsia" w:eastAsiaTheme="minorEastAsia"/>
          <w:b/>
          <w:highlight w:val="yellow"/>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（一）服务期限：</w:t>
      </w:r>
    </w:p>
    <w:p w14:paraId="083E2A14">
      <w:pPr>
        <w:spacing w:line="360" w:lineRule="auto"/>
        <w:ind w:firstLine="422" w:firstLineChars="200"/>
        <w:rPr>
          <w:rFonts w:asciiTheme="minorEastAsia" w:hAnsiTheme="minorEastAsia" w:eastAsiaTheme="minorEastAsia"/>
          <w:b/>
          <w:highlight w:val="yellow"/>
        </w:rPr>
      </w:pPr>
      <w:r>
        <w:rPr>
          <w:rFonts w:hint="eastAsia" w:asciiTheme="minorEastAsia" w:hAnsiTheme="minorEastAsia" w:eastAsiaTheme="minorEastAsia"/>
          <w:b/>
          <w:highlight w:val="yellow"/>
          <w:lang w:eastAsia="zh-CN"/>
        </w:rPr>
        <w:t>自合同签订之日起至</w:t>
      </w:r>
      <w:r>
        <w:rPr>
          <w:rFonts w:hint="eastAsia" w:asciiTheme="minorEastAsia" w:hAnsiTheme="minorEastAsia" w:eastAsiaTheme="minorEastAsia"/>
          <w:b/>
          <w:highlight w:val="yellow"/>
          <w:lang w:val="en-US" w:eastAsia="zh-CN"/>
        </w:rPr>
        <w:t>2025年12月31日。</w:t>
      </w:r>
      <w:r>
        <w:rPr>
          <w:rFonts w:hint="eastAsia" w:asciiTheme="minorEastAsia" w:hAnsiTheme="minorEastAsia" w:eastAsiaTheme="minorEastAsia"/>
          <w:b/>
          <w:highlight w:val="yellow"/>
        </w:rPr>
        <w:t>本项目为长期服务类项目，经</w:t>
      </w:r>
      <w:r>
        <w:rPr>
          <w:rFonts w:hint="eastAsia" w:asciiTheme="minorEastAsia" w:hAnsiTheme="minorEastAsia" w:eastAsiaTheme="minorEastAsia"/>
          <w:b/>
          <w:highlight w:val="yellow"/>
          <w:lang w:val="en-US" w:eastAsia="zh-CN"/>
        </w:rPr>
        <w:t>采购人</w:t>
      </w:r>
      <w:r>
        <w:rPr>
          <w:rFonts w:hint="eastAsia" w:asciiTheme="minorEastAsia" w:hAnsiTheme="minorEastAsia" w:eastAsiaTheme="minorEastAsia"/>
          <w:b/>
          <w:highlight w:val="yellow"/>
        </w:rPr>
        <w:t>进行履约评价为优的可视情况决定是否续签，续签合同一年一签，最多可续签两次，合同最长期限不超过36个月，续签合同金额及实质性内容不得改变</w:t>
      </w:r>
      <w:r>
        <w:rPr>
          <w:rFonts w:hint="eastAsia" w:asciiTheme="minorEastAsia" w:hAnsiTheme="minorEastAsia" w:eastAsiaTheme="minorEastAsia"/>
          <w:b/>
          <w:highlight w:val="yellow"/>
          <w:lang w:eastAsia="zh-CN"/>
        </w:rPr>
        <w:t>。</w:t>
      </w:r>
    </w:p>
    <w:p w14:paraId="151CBAA0">
      <w:pPr>
        <w:spacing w:line="360" w:lineRule="auto"/>
        <w:rPr>
          <w:rFonts w:asciiTheme="minorEastAsia" w:hAnsiTheme="minorEastAsia" w:eastAsiaTheme="minorEastAsia"/>
          <w:b/>
        </w:rPr>
      </w:pPr>
      <w:r>
        <w:rPr>
          <w:rFonts w:hint="eastAsia" w:asciiTheme="minorEastAsia" w:hAnsiTheme="minorEastAsia" w:eastAsiaTheme="minorEastAsia"/>
          <w:b/>
        </w:rPr>
        <w:t>（二）服务地点：</w:t>
      </w:r>
    </w:p>
    <w:p w14:paraId="6719511A">
      <w:pPr>
        <w:spacing w:line="360" w:lineRule="auto"/>
        <w:ind w:firstLine="424" w:firstLineChars="202"/>
        <w:rPr>
          <w:rFonts w:asciiTheme="minorEastAsia" w:hAnsiTheme="minorEastAsia" w:eastAsiaTheme="minorEastAsia"/>
          <w:b/>
        </w:rPr>
      </w:pPr>
      <w:r>
        <w:rPr>
          <w:rFonts w:hint="eastAsia" w:ascii="宋体" w:hAnsi="宋体"/>
          <w:szCs w:val="21"/>
        </w:rPr>
        <w:t>深圳市。</w:t>
      </w:r>
    </w:p>
    <w:p w14:paraId="0577AACF">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Cs w:val="21"/>
          <w:lang w:eastAsia="zh-CN"/>
        </w:rPr>
      </w:pPr>
      <w:r>
        <w:rPr>
          <w:rFonts w:hint="eastAsia" w:asciiTheme="minorEastAsia" w:hAnsiTheme="minorEastAsia" w:eastAsiaTheme="minorEastAsia"/>
          <w:b/>
          <w:bCs w:val="0"/>
        </w:rPr>
        <w:t>（三）</w:t>
      </w:r>
      <w:r>
        <w:rPr>
          <w:rFonts w:hint="eastAsia" w:ascii="宋体" w:hAnsi="宋体"/>
          <w:b/>
          <w:bCs w:val="0"/>
          <w:szCs w:val="21"/>
        </w:rPr>
        <w:t>验收方式</w:t>
      </w:r>
      <w:r>
        <w:rPr>
          <w:rFonts w:hint="eastAsia" w:ascii="宋体" w:hAnsi="宋体"/>
          <w:b/>
          <w:bCs w:val="0"/>
          <w:szCs w:val="21"/>
          <w:lang w:eastAsia="zh-CN"/>
        </w:rPr>
        <w:t>：</w:t>
      </w:r>
    </w:p>
    <w:p w14:paraId="4F9CAEDA">
      <w:pPr>
        <w:spacing w:line="360" w:lineRule="auto"/>
        <w:ind w:firstLine="420" w:firstLineChars="200"/>
        <w:jc w:val="left"/>
        <w:rPr>
          <w:rFonts w:hint="eastAsia" w:ascii="宋体" w:hAnsi="宋体"/>
          <w:szCs w:val="21"/>
        </w:rPr>
      </w:pPr>
      <w:r>
        <w:rPr>
          <w:rFonts w:hint="eastAsia" w:ascii="宋体" w:hAnsi="宋体"/>
          <w:szCs w:val="21"/>
        </w:rPr>
        <w:t>（1）服务期结束后，中标人按招标文件、投标文件及合同要求完成项目服务工作，并按要求完成验收文档准备后，中标人向采购人提出项目验收申请，验收工作由采购人组织有关人员进行。</w:t>
      </w:r>
    </w:p>
    <w:p w14:paraId="3B012E9D">
      <w:pPr>
        <w:spacing w:line="360" w:lineRule="auto"/>
        <w:ind w:firstLine="420" w:firstLineChars="200"/>
        <w:jc w:val="left"/>
        <w:rPr>
          <w:rFonts w:hint="eastAsia" w:ascii="宋体" w:hAnsi="宋体"/>
          <w:szCs w:val="21"/>
        </w:rPr>
      </w:pPr>
      <w:r>
        <w:rPr>
          <w:rFonts w:hint="eastAsia" w:ascii="宋体" w:hAnsi="宋体"/>
          <w:szCs w:val="21"/>
        </w:rPr>
        <w:t>（2）当满足以下条作时，采购人向中标人发出验收报告：</w:t>
      </w:r>
    </w:p>
    <w:p w14:paraId="0DC247C1">
      <w:pPr>
        <w:spacing w:line="360" w:lineRule="auto"/>
        <w:ind w:firstLine="420" w:firstLineChars="200"/>
        <w:jc w:val="left"/>
        <w:rPr>
          <w:rFonts w:hint="eastAsia" w:ascii="宋体" w:hAnsi="宋体"/>
          <w:szCs w:val="21"/>
        </w:rPr>
      </w:pPr>
      <w:r>
        <w:rPr>
          <w:rFonts w:hint="eastAsia" w:ascii="宋体" w:hAnsi="宋体"/>
          <w:szCs w:val="21"/>
        </w:rPr>
        <w:t>a、中标人已按照合同约定提供了全部服务以及完整的项目资料；</w:t>
      </w:r>
    </w:p>
    <w:p w14:paraId="211AD1B4">
      <w:pPr>
        <w:spacing w:line="360" w:lineRule="auto"/>
        <w:ind w:firstLine="420" w:firstLineChars="200"/>
        <w:jc w:val="left"/>
        <w:rPr>
          <w:rFonts w:hint="eastAsia" w:ascii="宋体" w:hAnsi="宋体"/>
          <w:szCs w:val="21"/>
        </w:rPr>
      </w:pPr>
      <w:r>
        <w:rPr>
          <w:rFonts w:hint="eastAsia" w:ascii="宋体" w:hAnsi="宋体"/>
          <w:szCs w:val="21"/>
        </w:rPr>
        <w:t>b、符合项目技术服务要求，通过采购人验收。</w:t>
      </w:r>
    </w:p>
    <w:p w14:paraId="1B3E086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Cs w:val="21"/>
          <w:lang w:eastAsia="zh-CN"/>
        </w:rPr>
      </w:pPr>
      <w:r>
        <w:rPr>
          <w:rFonts w:hint="eastAsia" w:ascii="宋体" w:hAnsi="宋体"/>
          <w:b/>
          <w:bCs/>
          <w:szCs w:val="21"/>
          <w:lang w:val="en-US" w:eastAsia="zh-CN"/>
        </w:rPr>
        <w:t>（四）</w:t>
      </w:r>
      <w:r>
        <w:rPr>
          <w:rFonts w:hint="eastAsia" w:ascii="宋体" w:hAnsi="宋体"/>
          <w:b/>
          <w:bCs/>
          <w:szCs w:val="21"/>
        </w:rPr>
        <w:t>报价要求</w:t>
      </w:r>
      <w:r>
        <w:rPr>
          <w:rFonts w:hint="eastAsia" w:ascii="宋体" w:hAnsi="宋体"/>
          <w:b/>
          <w:bCs/>
          <w:szCs w:val="21"/>
          <w:lang w:eastAsia="zh-CN"/>
        </w:rPr>
        <w:t>：</w:t>
      </w:r>
    </w:p>
    <w:p w14:paraId="4837ACC2">
      <w:pPr>
        <w:spacing w:line="360" w:lineRule="auto"/>
        <w:ind w:firstLine="420" w:firstLineChars="200"/>
        <w:jc w:val="left"/>
        <w:rPr>
          <w:rFonts w:hint="eastAsia" w:ascii="宋体" w:hAnsi="宋体"/>
          <w:szCs w:val="21"/>
          <w:lang w:eastAsia="zh-CN"/>
        </w:rPr>
      </w:pPr>
      <w:r>
        <w:rPr>
          <w:rFonts w:hint="eastAsia" w:ascii="宋体" w:hAnsi="宋体"/>
          <w:szCs w:val="21"/>
          <w:lang w:val="en-US" w:eastAsia="zh-CN"/>
        </w:rPr>
        <w:t>1.</w:t>
      </w:r>
      <w:r>
        <w:rPr>
          <w:rFonts w:hint="eastAsia" w:ascii="宋体" w:hAnsi="宋体"/>
          <w:szCs w:val="21"/>
          <w:lang w:eastAsia="zh-CN"/>
        </w:rPr>
        <w:t>投标人报价应按人民币报价，包括但不限于管理费用、人员费用、税费、生产材料费用、设施硬件配置费用等与完成本项目服务工作有关的全部费用。</w:t>
      </w:r>
    </w:p>
    <w:p w14:paraId="1F4690B3">
      <w:pPr>
        <w:spacing w:line="360" w:lineRule="auto"/>
        <w:ind w:firstLine="420" w:firstLineChars="200"/>
        <w:jc w:val="left"/>
        <w:rPr>
          <w:rFonts w:hint="eastAsia" w:ascii="宋体" w:hAnsi="宋体"/>
          <w:szCs w:val="21"/>
          <w:lang w:eastAsia="zh-CN"/>
        </w:rPr>
      </w:pPr>
      <w:r>
        <w:rPr>
          <w:rFonts w:hint="eastAsia" w:ascii="宋体" w:hAnsi="宋体"/>
          <w:szCs w:val="21"/>
          <w:lang w:val="en-US" w:eastAsia="zh-CN"/>
        </w:rPr>
        <w:t>2.</w:t>
      </w:r>
      <w:r>
        <w:rPr>
          <w:rFonts w:hint="eastAsia" w:ascii="宋体" w:hAnsi="宋体"/>
          <w:szCs w:val="21"/>
          <w:lang w:eastAsia="zh-CN"/>
        </w:rPr>
        <w:t>投标人</w:t>
      </w:r>
      <w:r>
        <w:rPr>
          <w:rFonts w:hint="eastAsia" w:ascii="宋体" w:hAnsi="宋体"/>
          <w:szCs w:val="21"/>
          <w:lang w:val="en-US" w:eastAsia="zh-CN"/>
        </w:rPr>
        <w:t>需根据</w:t>
      </w:r>
      <w:r>
        <w:rPr>
          <w:rFonts w:hint="eastAsia" w:ascii="宋体" w:hAnsi="宋体"/>
          <w:szCs w:val="21"/>
          <w:lang w:eastAsia="zh-CN"/>
        </w:rPr>
        <w:t>分项报价</w:t>
      </w:r>
      <w:r>
        <w:rPr>
          <w:rFonts w:hint="eastAsia" w:ascii="宋体" w:hAnsi="宋体"/>
          <w:szCs w:val="21"/>
          <w:lang w:val="en-US" w:eastAsia="zh-CN"/>
        </w:rPr>
        <w:t>表格式提供</w:t>
      </w:r>
      <w:r>
        <w:rPr>
          <w:rFonts w:hint="eastAsia" w:ascii="宋体" w:hAnsi="宋体"/>
          <w:szCs w:val="21"/>
          <w:lang w:eastAsia="zh-CN"/>
        </w:rPr>
        <w:t>分项报价（分项报价内容为服务内容的</w:t>
      </w:r>
      <w:r>
        <w:rPr>
          <w:rFonts w:hint="eastAsia" w:ascii="宋体" w:hAnsi="宋体"/>
          <w:szCs w:val="21"/>
          <w:lang w:val="en-US" w:eastAsia="zh-CN"/>
        </w:rPr>
        <w:t>26项，分项报价表如下</w:t>
      </w:r>
      <w:r>
        <w:rPr>
          <w:rFonts w:hint="eastAsia" w:ascii="宋体" w:hAnsi="宋体"/>
          <w:szCs w:val="21"/>
          <w:lang w:eastAsia="zh-CN"/>
        </w:rPr>
        <w:t>）：</w:t>
      </w:r>
    </w:p>
    <w:tbl>
      <w:tblPr>
        <w:tblStyle w:val="4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167"/>
        <w:gridCol w:w="1041"/>
        <w:gridCol w:w="1041"/>
        <w:gridCol w:w="1889"/>
      </w:tblGrid>
      <w:tr w14:paraId="027062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top w:val="double" w:color="auto" w:sz="4" w:space="0"/>
              <w:left w:val="double" w:color="auto" w:sz="4" w:space="0"/>
            </w:tcBorders>
            <w:shd w:val="clear" w:color="auto" w:fill="C6D9F0" w:themeFill="text2" w:themeFillTint="33"/>
            <w:vAlign w:val="center"/>
          </w:tcPr>
          <w:p w14:paraId="16B6BA0F">
            <w:pPr>
              <w:keepNext w:val="0"/>
              <w:keepLines w:val="0"/>
              <w:pageBreakBefore w:val="0"/>
              <w:widowControl w:val="0"/>
              <w:kinsoku/>
              <w:overflowPunct/>
              <w:topLinePunct w:val="0"/>
              <w:bidi w:val="0"/>
              <w:spacing w:line="360" w:lineRule="auto"/>
              <w:jc w:val="center"/>
              <w:rPr>
                <w:rFonts w:hint="eastAsia" w:ascii="宋体" w:hAnsi="宋体" w:eastAsia="宋体" w:cs="宋体"/>
                <w:b/>
              </w:rPr>
            </w:pPr>
            <w:r>
              <w:rPr>
                <w:rFonts w:hint="eastAsia" w:ascii="宋体" w:hAnsi="宋体" w:eastAsia="宋体" w:cs="宋体"/>
                <w:b/>
              </w:rPr>
              <w:t>序号</w:t>
            </w:r>
          </w:p>
        </w:tc>
        <w:tc>
          <w:tcPr>
            <w:tcW w:w="3167" w:type="dxa"/>
            <w:tcBorders>
              <w:top w:val="double" w:color="auto" w:sz="4" w:space="0"/>
            </w:tcBorders>
            <w:shd w:val="clear" w:color="auto" w:fill="C6D9F0" w:themeFill="text2" w:themeFillTint="33"/>
            <w:vAlign w:val="center"/>
          </w:tcPr>
          <w:p w14:paraId="59318E32">
            <w:pPr>
              <w:keepNext w:val="0"/>
              <w:keepLines w:val="0"/>
              <w:pageBreakBefore w:val="0"/>
              <w:widowControl w:val="0"/>
              <w:kinsoku/>
              <w:overflowPunct/>
              <w:topLinePunct w:val="0"/>
              <w:bidi w:val="0"/>
              <w:spacing w:line="360" w:lineRule="auto"/>
              <w:jc w:val="center"/>
              <w:rPr>
                <w:rFonts w:hint="eastAsia" w:ascii="宋体" w:hAnsi="宋体" w:eastAsia="宋体" w:cs="宋体"/>
                <w:b/>
                <w:lang w:val="en-US" w:eastAsia="zh-CN"/>
              </w:rPr>
            </w:pPr>
            <w:r>
              <w:rPr>
                <w:rFonts w:hint="eastAsia" w:ascii="宋体" w:hAnsi="宋体" w:eastAsia="宋体" w:cs="宋体"/>
                <w:b/>
                <w:lang w:val="en-US" w:eastAsia="zh-CN"/>
              </w:rPr>
              <w:t>服务内容</w:t>
            </w:r>
          </w:p>
        </w:tc>
        <w:tc>
          <w:tcPr>
            <w:tcW w:w="1041" w:type="dxa"/>
            <w:tcBorders>
              <w:top w:val="double" w:color="auto" w:sz="4" w:space="0"/>
            </w:tcBorders>
            <w:shd w:val="clear" w:color="auto" w:fill="C6D9F0" w:themeFill="text2" w:themeFillTint="33"/>
            <w:vAlign w:val="center"/>
          </w:tcPr>
          <w:p w14:paraId="6FB05931">
            <w:pPr>
              <w:keepNext w:val="0"/>
              <w:keepLines w:val="0"/>
              <w:pageBreakBefore w:val="0"/>
              <w:widowControl w:val="0"/>
              <w:kinsoku/>
              <w:overflowPunct/>
              <w:topLinePunct w:val="0"/>
              <w:bidi w:val="0"/>
              <w:spacing w:line="360" w:lineRule="auto"/>
              <w:jc w:val="center"/>
              <w:rPr>
                <w:rFonts w:hint="eastAsia" w:ascii="宋体" w:hAnsi="宋体" w:eastAsia="宋体" w:cs="宋体"/>
                <w:b/>
              </w:rPr>
            </w:pPr>
            <w:r>
              <w:rPr>
                <w:rFonts w:hint="eastAsia" w:ascii="宋体" w:hAnsi="宋体" w:eastAsia="宋体" w:cs="宋体"/>
                <w:b/>
              </w:rPr>
              <w:t>数量</w:t>
            </w:r>
          </w:p>
        </w:tc>
        <w:tc>
          <w:tcPr>
            <w:tcW w:w="1041" w:type="dxa"/>
            <w:tcBorders>
              <w:top w:val="double" w:color="auto" w:sz="4" w:space="0"/>
            </w:tcBorders>
            <w:shd w:val="clear" w:color="auto" w:fill="C6D9F0" w:themeFill="text2" w:themeFillTint="33"/>
            <w:vAlign w:val="center"/>
          </w:tcPr>
          <w:p w14:paraId="3DB52E0F">
            <w:pPr>
              <w:keepNext w:val="0"/>
              <w:keepLines w:val="0"/>
              <w:pageBreakBefore w:val="0"/>
              <w:widowControl w:val="0"/>
              <w:kinsoku/>
              <w:overflowPunct/>
              <w:topLinePunct w:val="0"/>
              <w:bidi w:val="0"/>
              <w:spacing w:line="360" w:lineRule="auto"/>
              <w:jc w:val="center"/>
              <w:rPr>
                <w:rFonts w:hint="eastAsia" w:ascii="宋体" w:hAnsi="宋体" w:eastAsia="宋体" w:cs="宋体"/>
                <w:b/>
              </w:rPr>
            </w:pPr>
            <w:r>
              <w:rPr>
                <w:rFonts w:hint="eastAsia" w:ascii="宋体" w:hAnsi="宋体" w:eastAsia="宋体" w:cs="宋体"/>
                <w:b/>
              </w:rPr>
              <w:t>单位</w:t>
            </w:r>
          </w:p>
        </w:tc>
        <w:tc>
          <w:tcPr>
            <w:tcW w:w="1889" w:type="dxa"/>
            <w:tcBorders>
              <w:top w:val="double" w:color="auto" w:sz="4" w:space="0"/>
              <w:right w:val="double" w:color="auto" w:sz="4" w:space="0"/>
            </w:tcBorders>
            <w:shd w:val="clear" w:color="auto" w:fill="C6D9F0" w:themeFill="text2" w:themeFillTint="33"/>
            <w:vAlign w:val="center"/>
          </w:tcPr>
          <w:p w14:paraId="3247A32D">
            <w:pPr>
              <w:keepNext w:val="0"/>
              <w:keepLines w:val="0"/>
              <w:pageBreakBefore w:val="0"/>
              <w:widowControl w:val="0"/>
              <w:kinsoku/>
              <w:overflowPunct/>
              <w:topLinePunct w:val="0"/>
              <w:bidi w:val="0"/>
              <w:spacing w:line="360" w:lineRule="auto"/>
              <w:jc w:val="center"/>
              <w:rPr>
                <w:rFonts w:hint="eastAsia" w:ascii="宋体" w:hAnsi="宋体" w:eastAsia="宋体" w:cs="宋体"/>
                <w:b/>
                <w:lang w:val="en-US" w:eastAsia="zh-CN"/>
              </w:rPr>
            </w:pPr>
            <w:r>
              <w:rPr>
                <w:rFonts w:hint="eastAsia" w:ascii="宋体" w:hAnsi="宋体" w:cs="宋体"/>
                <w:b/>
                <w:lang w:val="en-US" w:eastAsia="zh-CN"/>
              </w:rPr>
              <w:t>报价</w:t>
            </w:r>
            <w:r>
              <w:rPr>
                <w:rFonts w:hint="eastAsia" w:ascii="宋体" w:hAnsi="宋体" w:eastAsia="宋体" w:cs="宋体"/>
                <w:b/>
                <w:lang w:val="en-US" w:eastAsia="zh-CN"/>
              </w:rPr>
              <w:t>（人民币元）</w:t>
            </w:r>
          </w:p>
        </w:tc>
      </w:tr>
      <w:tr w14:paraId="08E003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14:paraId="7B866252">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rPr>
              <w:t>1</w:t>
            </w:r>
          </w:p>
        </w:tc>
        <w:tc>
          <w:tcPr>
            <w:tcW w:w="3167" w:type="dxa"/>
            <w:vAlign w:val="center"/>
          </w:tcPr>
          <w:p w14:paraId="25D61F5C">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网络安全制度修编与落实</w:t>
            </w:r>
          </w:p>
        </w:tc>
        <w:tc>
          <w:tcPr>
            <w:tcW w:w="1041" w:type="dxa"/>
            <w:vAlign w:val="center"/>
          </w:tcPr>
          <w:p w14:paraId="635DFE1C">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rPr>
              <w:t>1</w:t>
            </w:r>
          </w:p>
        </w:tc>
        <w:tc>
          <w:tcPr>
            <w:tcW w:w="1041" w:type="dxa"/>
            <w:vAlign w:val="center"/>
          </w:tcPr>
          <w:p w14:paraId="438FBCE5">
            <w:pPr>
              <w:keepNext w:val="0"/>
              <w:keepLines w:val="0"/>
              <w:pageBreakBefore w:val="0"/>
              <w:widowControl w:val="0"/>
              <w:kinsoku/>
              <w:overflowPunct/>
              <w:topLinePunct w:val="0"/>
              <w:bidi w:val="0"/>
              <w:spacing w:line="360" w:lineRule="auto"/>
              <w:jc w:val="center"/>
              <w:rPr>
                <w:rFonts w:hint="eastAsia" w:ascii="宋体" w:hAnsi="宋体" w:eastAsia="宋体" w:cs="宋体"/>
                <w:lang w:eastAsia="zh-CN"/>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5DF7A9B2">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5FF291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14:paraId="51F8D730">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rPr>
              <w:t>2</w:t>
            </w:r>
          </w:p>
        </w:tc>
        <w:tc>
          <w:tcPr>
            <w:tcW w:w="3167" w:type="dxa"/>
            <w:vAlign w:val="center"/>
          </w:tcPr>
          <w:p w14:paraId="0F7ADA4A">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信息系统等级保护顾问咨询</w:t>
            </w:r>
          </w:p>
        </w:tc>
        <w:tc>
          <w:tcPr>
            <w:tcW w:w="1041" w:type="dxa"/>
            <w:vAlign w:val="center"/>
          </w:tcPr>
          <w:p w14:paraId="2FB7D6CB">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rPr>
              <w:t>1</w:t>
            </w:r>
          </w:p>
        </w:tc>
        <w:tc>
          <w:tcPr>
            <w:tcW w:w="1041" w:type="dxa"/>
            <w:vAlign w:val="center"/>
          </w:tcPr>
          <w:p w14:paraId="2B6F0DDD">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3FE11BEC">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1FCB8E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14:paraId="215A79A1">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rPr>
              <w:t>3</w:t>
            </w:r>
          </w:p>
        </w:tc>
        <w:tc>
          <w:tcPr>
            <w:tcW w:w="3167" w:type="dxa"/>
            <w:vAlign w:val="center"/>
          </w:tcPr>
          <w:p w14:paraId="2DC91EBF">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风险评估服务</w:t>
            </w:r>
          </w:p>
        </w:tc>
        <w:tc>
          <w:tcPr>
            <w:tcW w:w="1041" w:type="dxa"/>
            <w:vAlign w:val="center"/>
          </w:tcPr>
          <w:p w14:paraId="1D4C28BD">
            <w:pPr>
              <w:keepNext w:val="0"/>
              <w:keepLines w:val="0"/>
              <w:pageBreakBefore w:val="0"/>
              <w:widowControl w:val="0"/>
              <w:kinsoku/>
              <w:overflowPunct/>
              <w:topLinePunct w:val="0"/>
              <w:bidi w:val="0"/>
              <w:spacing w:line="360" w:lineRule="auto"/>
              <w:jc w:val="center"/>
              <w:rPr>
                <w:rFonts w:hint="eastAsia" w:ascii="宋体" w:hAnsi="宋体" w:eastAsia="宋体" w:cs="宋体"/>
                <w:lang w:eastAsia="zh-CN"/>
              </w:rPr>
            </w:pPr>
            <w:r>
              <w:rPr>
                <w:rFonts w:hint="eastAsia" w:ascii="宋体" w:hAnsi="宋体" w:eastAsia="宋体" w:cs="宋体"/>
                <w:bCs/>
                <w:szCs w:val="21"/>
                <w:lang w:val="en-US" w:eastAsia="zh-CN"/>
              </w:rPr>
              <w:t>1</w:t>
            </w:r>
          </w:p>
        </w:tc>
        <w:tc>
          <w:tcPr>
            <w:tcW w:w="1041" w:type="dxa"/>
            <w:vAlign w:val="center"/>
          </w:tcPr>
          <w:p w14:paraId="65302683">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137CB2B0">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48FC1C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7C7EB381">
            <w:pPr>
              <w:keepNext w:val="0"/>
              <w:keepLines w:val="0"/>
              <w:pageBreakBefore w:val="0"/>
              <w:widowControl w:val="0"/>
              <w:kinsoku/>
              <w:overflowPunct/>
              <w:topLinePunct w:val="0"/>
              <w:bidi w:val="0"/>
              <w:spacing w:line="360" w:lineRule="auto"/>
              <w:jc w:val="center"/>
              <w:rPr>
                <w:rFonts w:hint="eastAsia" w:ascii="宋体" w:hAnsi="宋体" w:eastAsia="宋体" w:cs="宋体"/>
                <w:lang w:eastAsia="zh-CN"/>
              </w:rPr>
            </w:pPr>
            <w:r>
              <w:rPr>
                <w:rFonts w:hint="eastAsia" w:ascii="宋体" w:hAnsi="宋体" w:eastAsia="宋体" w:cs="宋体"/>
                <w:lang w:val="en-US" w:eastAsia="zh-CN"/>
              </w:rPr>
              <w:t>4</w:t>
            </w:r>
          </w:p>
        </w:tc>
        <w:tc>
          <w:tcPr>
            <w:tcW w:w="3167" w:type="dxa"/>
            <w:tcBorders>
              <w:bottom w:val="single" w:color="000000" w:themeColor="text1" w:sz="4" w:space="0"/>
            </w:tcBorders>
            <w:vAlign w:val="center"/>
          </w:tcPr>
          <w:p w14:paraId="16DA2E1E">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网络安全应急预案修编及常态化攻防演练</w:t>
            </w:r>
          </w:p>
        </w:tc>
        <w:tc>
          <w:tcPr>
            <w:tcW w:w="1041" w:type="dxa"/>
            <w:vAlign w:val="center"/>
          </w:tcPr>
          <w:p w14:paraId="22F8E31D">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rPr>
              <w:t>1</w:t>
            </w:r>
          </w:p>
        </w:tc>
        <w:tc>
          <w:tcPr>
            <w:tcW w:w="1041" w:type="dxa"/>
            <w:vAlign w:val="center"/>
          </w:tcPr>
          <w:p w14:paraId="3C670C04">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1ACBC233">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2CDBCE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7A8CF8DB">
            <w:pPr>
              <w:keepNext w:val="0"/>
              <w:keepLines w:val="0"/>
              <w:pageBreakBefore w:val="0"/>
              <w:widowControl w:val="0"/>
              <w:kinsoku/>
              <w:overflowPunct/>
              <w:topLinePunct w:val="0"/>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3167" w:type="dxa"/>
            <w:tcBorders>
              <w:bottom w:val="single" w:color="000000" w:themeColor="text1" w:sz="4" w:space="0"/>
            </w:tcBorders>
            <w:vAlign w:val="center"/>
          </w:tcPr>
          <w:p w14:paraId="64BED09B">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安全防护措施落实</w:t>
            </w:r>
          </w:p>
        </w:tc>
        <w:tc>
          <w:tcPr>
            <w:tcW w:w="1041" w:type="dxa"/>
            <w:vAlign w:val="center"/>
          </w:tcPr>
          <w:p w14:paraId="4B501F92">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rPr>
              <w:t>1</w:t>
            </w:r>
          </w:p>
        </w:tc>
        <w:tc>
          <w:tcPr>
            <w:tcW w:w="1041" w:type="dxa"/>
            <w:vAlign w:val="center"/>
          </w:tcPr>
          <w:p w14:paraId="0849C4D6">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0A0255A1">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7E5244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17194589">
            <w:pPr>
              <w:keepNext w:val="0"/>
              <w:keepLines w:val="0"/>
              <w:pageBreakBefore w:val="0"/>
              <w:widowControl w:val="0"/>
              <w:kinsoku/>
              <w:overflowPunct/>
              <w:topLinePunct w:val="0"/>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3167" w:type="dxa"/>
            <w:tcBorders>
              <w:bottom w:val="single" w:color="000000" w:themeColor="text1" w:sz="4" w:space="0"/>
            </w:tcBorders>
            <w:vAlign w:val="center"/>
          </w:tcPr>
          <w:p w14:paraId="0FA3BB7B">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安全隐患排查及整改</w:t>
            </w:r>
          </w:p>
        </w:tc>
        <w:tc>
          <w:tcPr>
            <w:tcW w:w="1041" w:type="dxa"/>
            <w:vAlign w:val="center"/>
          </w:tcPr>
          <w:p w14:paraId="1DCED464">
            <w:pPr>
              <w:keepNext w:val="0"/>
              <w:keepLines w:val="0"/>
              <w:pageBreakBefore w:val="0"/>
              <w:widowControl w:val="0"/>
              <w:kinsoku/>
              <w:overflowPunct/>
              <w:topLinePunct w:val="0"/>
              <w:bidi w:val="0"/>
              <w:spacing w:line="360" w:lineRule="auto"/>
              <w:jc w:val="center"/>
              <w:rPr>
                <w:rFonts w:hint="eastAsia" w:ascii="宋体" w:hAnsi="宋体" w:eastAsia="宋体" w:cs="宋体"/>
                <w:lang w:eastAsia="zh-CN"/>
              </w:rPr>
            </w:pPr>
            <w:r>
              <w:rPr>
                <w:rFonts w:hint="eastAsia" w:ascii="宋体" w:hAnsi="宋体" w:eastAsia="宋体" w:cs="宋体"/>
                <w:bCs/>
                <w:szCs w:val="21"/>
                <w:lang w:val="en-US" w:eastAsia="zh-CN"/>
              </w:rPr>
              <w:t>1</w:t>
            </w:r>
          </w:p>
        </w:tc>
        <w:tc>
          <w:tcPr>
            <w:tcW w:w="1041" w:type="dxa"/>
            <w:vAlign w:val="center"/>
          </w:tcPr>
          <w:p w14:paraId="57DF274B">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680DB09A">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646C62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3059614A">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7</w:t>
            </w:r>
          </w:p>
        </w:tc>
        <w:tc>
          <w:tcPr>
            <w:tcW w:w="3167" w:type="dxa"/>
            <w:tcBorders>
              <w:bottom w:val="single" w:color="000000" w:themeColor="text1" w:sz="4" w:space="0"/>
            </w:tcBorders>
            <w:vAlign w:val="center"/>
          </w:tcPr>
          <w:p w14:paraId="78307FCE">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网站云安全检测</w:t>
            </w:r>
          </w:p>
        </w:tc>
        <w:tc>
          <w:tcPr>
            <w:tcW w:w="1041" w:type="dxa"/>
            <w:vAlign w:val="center"/>
          </w:tcPr>
          <w:p w14:paraId="1B76E72D">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5050F314">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0A21119B">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74D717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4D6584D9">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8</w:t>
            </w:r>
          </w:p>
        </w:tc>
        <w:tc>
          <w:tcPr>
            <w:tcW w:w="3167" w:type="dxa"/>
            <w:tcBorders>
              <w:bottom w:val="single" w:color="000000" w:themeColor="text1" w:sz="4" w:space="0"/>
            </w:tcBorders>
            <w:vAlign w:val="center"/>
          </w:tcPr>
          <w:p w14:paraId="1F72EEAD">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网站安全检测</w:t>
            </w:r>
          </w:p>
        </w:tc>
        <w:tc>
          <w:tcPr>
            <w:tcW w:w="1041" w:type="dxa"/>
            <w:vAlign w:val="center"/>
          </w:tcPr>
          <w:p w14:paraId="5C1B3FD5">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73743415">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57BC95BB">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56F14C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2C8C3AB4">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3167" w:type="dxa"/>
            <w:tcBorders>
              <w:bottom w:val="single" w:color="000000" w:themeColor="text1" w:sz="4" w:space="0"/>
            </w:tcBorders>
            <w:vAlign w:val="center"/>
          </w:tcPr>
          <w:p w14:paraId="184BB97D">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安全渗透测试</w:t>
            </w:r>
          </w:p>
        </w:tc>
        <w:tc>
          <w:tcPr>
            <w:tcW w:w="1041" w:type="dxa"/>
            <w:vAlign w:val="center"/>
          </w:tcPr>
          <w:p w14:paraId="0637F957">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6698EE87">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7B5E68E2">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7172A4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5AADB298">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3167" w:type="dxa"/>
            <w:tcBorders>
              <w:bottom w:val="single" w:color="000000" w:themeColor="text1" w:sz="4" w:space="0"/>
            </w:tcBorders>
            <w:vAlign w:val="center"/>
          </w:tcPr>
          <w:p w14:paraId="4965132A">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终端安全检查</w:t>
            </w:r>
          </w:p>
        </w:tc>
        <w:tc>
          <w:tcPr>
            <w:tcW w:w="1041" w:type="dxa"/>
            <w:vAlign w:val="center"/>
          </w:tcPr>
          <w:p w14:paraId="666ABF71">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1D86EFF8">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00060EAD">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04AA5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0E8260EC">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11</w:t>
            </w:r>
          </w:p>
        </w:tc>
        <w:tc>
          <w:tcPr>
            <w:tcW w:w="3167" w:type="dxa"/>
            <w:tcBorders>
              <w:bottom w:val="single" w:color="000000" w:themeColor="text1" w:sz="4" w:space="0"/>
            </w:tcBorders>
            <w:vAlign w:val="center"/>
          </w:tcPr>
          <w:p w14:paraId="1AF2390B">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移动应用安全检测</w:t>
            </w:r>
          </w:p>
        </w:tc>
        <w:tc>
          <w:tcPr>
            <w:tcW w:w="1041" w:type="dxa"/>
            <w:vAlign w:val="center"/>
          </w:tcPr>
          <w:p w14:paraId="64D2C16A">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0F10C3A5">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7407ED23">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2FB404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2C446091">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3167" w:type="dxa"/>
            <w:tcBorders>
              <w:bottom w:val="single" w:color="000000" w:themeColor="text1" w:sz="4" w:space="0"/>
            </w:tcBorders>
            <w:vAlign w:val="center"/>
          </w:tcPr>
          <w:p w14:paraId="02C327A7">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移动APP安全加固</w:t>
            </w:r>
          </w:p>
        </w:tc>
        <w:tc>
          <w:tcPr>
            <w:tcW w:w="1041" w:type="dxa"/>
            <w:vAlign w:val="center"/>
          </w:tcPr>
          <w:p w14:paraId="07D4F9D1">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732BD899">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398812B9">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6410A7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5E2953B4">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13</w:t>
            </w:r>
          </w:p>
        </w:tc>
        <w:tc>
          <w:tcPr>
            <w:tcW w:w="3167" w:type="dxa"/>
            <w:tcBorders>
              <w:bottom w:val="single" w:color="000000" w:themeColor="text1" w:sz="4" w:space="0"/>
            </w:tcBorders>
            <w:vAlign w:val="center"/>
          </w:tcPr>
          <w:p w14:paraId="1609D599">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网络安全通报</w:t>
            </w:r>
          </w:p>
        </w:tc>
        <w:tc>
          <w:tcPr>
            <w:tcW w:w="1041" w:type="dxa"/>
            <w:vAlign w:val="center"/>
          </w:tcPr>
          <w:p w14:paraId="28EF479A">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0901127B">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52132CE8">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27EBB2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2CA1BEA4">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14</w:t>
            </w:r>
          </w:p>
        </w:tc>
        <w:tc>
          <w:tcPr>
            <w:tcW w:w="3167" w:type="dxa"/>
            <w:tcBorders>
              <w:bottom w:val="single" w:color="000000" w:themeColor="text1" w:sz="4" w:space="0"/>
            </w:tcBorders>
            <w:vAlign w:val="center"/>
          </w:tcPr>
          <w:p w14:paraId="74DAF5C2">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网络安全指导</w:t>
            </w:r>
          </w:p>
        </w:tc>
        <w:tc>
          <w:tcPr>
            <w:tcW w:w="1041" w:type="dxa"/>
            <w:vAlign w:val="center"/>
          </w:tcPr>
          <w:p w14:paraId="700B8ACF">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1F754905">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28755928">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6D6CC7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7CBE5728">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3167" w:type="dxa"/>
            <w:tcBorders>
              <w:bottom w:val="single" w:color="000000" w:themeColor="text1" w:sz="4" w:space="0"/>
            </w:tcBorders>
            <w:vAlign w:val="center"/>
          </w:tcPr>
          <w:p w14:paraId="3831436A">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网络安全联合检查</w:t>
            </w:r>
          </w:p>
        </w:tc>
        <w:tc>
          <w:tcPr>
            <w:tcW w:w="1041" w:type="dxa"/>
            <w:vAlign w:val="center"/>
          </w:tcPr>
          <w:p w14:paraId="79C48A6D">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212394E7">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399EDDB1">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432244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27EC5AF4">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16</w:t>
            </w:r>
          </w:p>
        </w:tc>
        <w:tc>
          <w:tcPr>
            <w:tcW w:w="3167" w:type="dxa"/>
            <w:tcBorders>
              <w:bottom w:val="single" w:color="000000" w:themeColor="text1" w:sz="4" w:space="0"/>
            </w:tcBorders>
            <w:vAlign w:val="center"/>
          </w:tcPr>
          <w:p w14:paraId="5C951D2B">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网络安全绩效评估</w:t>
            </w:r>
          </w:p>
        </w:tc>
        <w:tc>
          <w:tcPr>
            <w:tcW w:w="1041" w:type="dxa"/>
            <w:vAlign w:val="center"/>
          </w:tcPr>
          <w:p w14:paraId="05659BA0">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295541F1">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42CA4AAF">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7132B2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76801F51">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17</w:t>
            </w:r>
          </w:p>
        </w:tc>
        <w:tc>
          <w:tcPr>
            <w:tcW w:w="3167" w:type="dxa"/>
            <w:tcBorders>
              <w:bottom w:val="single" w:color="000000" w:themeColor="text1" w:sz="4" w:space="0"/>
            </w:tcBorders>
            <w:vAlign w:val="center"/>
          </w:tcPr>
          <w:p w14:paraId="717C3C51">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网络安全应急响应服务</w:t>
            </w:r>
          </w:p>
        </w:tc>
        <w:tc>
          <w:tcPr>
            <w:tcW w:w="1041" w:type="dxa"/>
            <w:vAlign w:val="center"/>
          </w:tcPr>
          <w:p w14:paraId="27BE0835">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1DD6BA41">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022130D0">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4AA8F5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31EF00B2">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18</w:t>
            </w:r>
          </w:p>
        </w:tc>
        <w:tc>
          <w:tcPr>
            <w:tcW w:w="3167" w:type="dxa"/>
            <w:tcBorders>
              <w:bottom w:val="single" w:color="000000" w:themeColor="text1" w:sz="4" w:space="0"/>
            </w:tcBorders>
            <w:vAlign w:val="center"/>
          </w:tcPr>
          <w:p w14:paraId="4CE15EA8">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驻点安全服务工作</w:t>
            </w:r>
          </w:p>
        </w:tc>
        <w:tc>
          <w:tcPr>
            <w:tcW w:w="1041" w:type="dxa"/>
            <w:vAlign w:val="center"/>
          </w:tcPr>
          <w:p w14:paraId="064713FA">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3085D635">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399C36DB">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6BE58D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2F84D14B">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19</w:t>
            </w:r>
          </w:p>
        </w:tc>
        <w:tc>
          <w:tcPr>
            <w:tcW w:w="3167" w:type="dxa"/>
            <w:tcBorders>
              <w:bottom w:val="single" w:color="000000" w:themeColor="text1" w:sz="4" w:space="0"/>
            </w:tcBorders>
            <w:vAlign w:val="center"/>
          </w:tcPr>
          <w:p w14:paraId="717A93B2">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直属事业单位网络安全检查服务</w:t>
            </w:r>
          </w:p>
        </w:tc>
        <w:tc>
          <w:tcPr>
            <w:tcW w:w="1041" w:type="dxa"/>
            <w:vAlign w:val="center"/>
          </w:tcPr>
          <w:p w14:paraId="43470A6E">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76B48359">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2B82137F">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505FA7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37FA9BB4">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3167" w:type="dxa"/>
            <w:tcBorders>
              <w:bottom w:val="single" w:color="000000" w:themeColor="text1" w:sz="4" w:space="0"/>
            </w:tcBorders>
            <w:vAlign w:val="center"/>
          </w:tcPr>
          <w:p w14:paraId="47E2A504">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完善数据分类分级制度</w:t>
            </w:r>
          </w:p>
        </w:tc>
        <w:tc>
          <w:tcPr>
            <w:tcW w:w="1041" w:type="dxa"/>
            <w:vAlign w:val="center"/>
          </w:tcPr>
          <w:p w14:paraId="29749E09">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65876D17">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4ECCCA86">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185C5C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79334FE5">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21</w:t>
            </w:r>
          </w:p>
        </w:tc>
        <w:tc>
          <w:tcPr>
            <w:tcW w:w="3167" w:type="dxa"/>
            <w:tcBorders>
              <w:bottom w:val="single" w:color="000000" w:themeColor="text1" w:sz="4" w:space="0"/>
            </w:tcBorders>
            <w:vAlign w:val="center"/>
          </w:tcPr>
          <w:p w14:paraId="2B0F9D19">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强化数据安全技术保护措施</w:t>
            </w:r>
          </w:p>
        </w:tc>
        <w:tc>
          <w:tcPr>
            <w:tcW w:w="1041" w:type="dxa"/>
            <w:vAlign w:val="center"/>
          </w:tcPr>
          <w:p w14:paraId="3E310998">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75F19A59">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46F36F6C">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041510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46472173">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22</w:t>
            </w:r>
          </w:p>
        </w:tc>
        <w:tc>
          <w:tcPr>
            <w:tcW w:w="3167" w:type="dxa"/>
            <w:tcBorders>
              <w:bottom w:val="single" w:color="000000" w:themeColor="text1" w:sz="4" w:space="0"/>
            </w:tcBorders>
            <w:vAlign w:val="center"/>
          </w:tcPr>
          <w:p w14:paraId="0A29563C">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规范供应链安全管理</w:t>
            </w:r>
          </w:p>
        </w:tc>
        <w:tc>
          <w:tcPr>
            <w:tcW w:w="1041" w:type="dxa"/>
            <w:vAlign w:val="center"/>
          </w:tcPr>
          <w:p w14:paraId="2210501F">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3B900F43">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7717BF5F">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225357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134C9216">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23</w:t>
            </w:r>
          </w:p>
        </w:tc>
        <w:tc>
          <w:tcPr>
            <w:tcW w:w="3167" w:type="dxa"/>
            <w:tcBorders>
              <w:bottom w:val="single" w:color="000000" w:themeColor="text1" w:sz="4" w:space="0"/>
            </w:tcBorders>
            <w:vAlign w:val="center"/>
          </w:tcPr>
          <w:p w14:paraId="2D0E1ED1">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加强开发运维管控</w:t>
            </w:r>
          </w:p>
        </w:tc>
        <w:tc>
          <w:tcPr>
            <w:tcW w:w="1041" w:type="dxa"/>
            <w:vAlign w:val="center"/>
          </w:tcPr>
          <w:p w14:paraId="7FB6FF41">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5195C27A">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6211931B">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328D26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0CC261BE">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24</w:t>
            </w:r>
          </w:p>
        </w:tc>
        <w:tc>
          <w:tcPr>
            <w:tcW w:w="3167" w:type="dxa"/>
            <w:tcBorders>
              <w:bottom w:val="single" w:color="000000" w:themeColor="text1" w:sz="4" w:space="0"/>
            </w:tcBorders>
            <w:vAlign w:val="center"/>
          </w:tcPr>
          <w:p w14:paraId="16FDCA5F">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重点时期保障</w:t>
            </w:r>
          </w:p>
        </w:tc>
        <w:tc>
          <w:tcPr>
            <w:tcW w:w="1041" w:type="dxa"/>
            <w:vAlign w:val="center"/>
          </w:tcPr>
          <w:p w14:paraId="4E316CD7">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418CC650">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2CB440BF">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36EBC7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3C2F5192">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25</w:t>
            </w:r>
          </w:p>
        </w:tc>
        <w:tc>
          <w:tcPr>
            <w:tcW w:w="3167" w:type="dxa"/>
            <w:tcBorders>
              <w:bottom w:val="single" w:color="000000" w:themeColor="text1" w:sz="4" w:space="0"/>
            </w:tcBorders>
            <w:vAlign w:val="center"/>
          </w:tcPr>
          <w:p w14:paraId="0076200D">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网络威胁监测和分析</w:t>
            </w:r>
          </w:p>
        </w:tc>
        <w:tc>
          <w:tcPr>
            <w:tcW w:w="1041" w:type="dxa"/>
            <w:vAlign w:val="center"/>
          </w:tcPr>
          <w:p w14:paraId="5D895850">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534AB18A">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3A8749BA">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37BE2C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34046455">
            <w:pPr>
              <w:keepNext w:val="0"/>
              <w:keepLines w:val="0"/>
              <w:pageBreakBefore w:val="0"/>
              <w:widowControl w:val="0"/>
              <w:kinsoku/>
              <w:overflowPunct/>
              <w:topLinePunct w:val="0"/>
              <w:bidi w:val="0"/>
              <w:spacing w:line="360" w:lineRule="auto"/>
              <w:jc w:val="center"/>
              <w:rPr>
                <w:rFonts w:hint="default" w:ascii="宋体" w:hAnsi="宋体" w:eastAsia="宋体" w:cs="宋体"/>
                <w:lang w:val="en-US" w:eastAsia="zh-CN"/>
              </w:rPr>
            </w:pPr>
            <w:r>
              <w:rPr>
                <w:rFonts w:hint="eastAsia" w:ascii="宋体" w:hAnsi="宋体" w:eastAsia="宋体" w:cs="宋体"/>
                <w:lang w:val="en-US" w:eastAsia="zh-CN"/>
              </w:rPr>
              <w:t>26</w:t>
            </w:r>
          </w:p>
        </w:tc>
        <w:tc>
          <w:tcPr>
            <w:tcW w:w="3167" w:type="dxa"/>
            <w:tcBorders>
              <w:bottom w:val="single" w:color="000000" w:themeColor="text1" w:sz="4" w:space="0"/>
            </w:tcBorders>
            <w:vAlign w:val="center"/>
          </w:tcPr>
          <w:p w14:paraId="4A698223">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sz w:val="21"/>
                <w:szCs w:val="21"/>
                <w:lang w:val="en-US" w:eastAsia="zh-CN"/>
              </w:rPr>
              <w:t>API接口安全监测</w:t>
            </w:r>
          </w:p>
        </w:tc>
        <w:tc>
          <w:tcPr>
            <w:tcW w:w="1041" w:type="dxa"/>
            <w:vAlign w:val="center"/>
          </w:tcPr>
          <w:p w14:paraId="4E571787">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05F86AED">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046170C6">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r w14:paraId="61FD04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33" w:type="dxa"/>
            <w:gridSpan w:val="4"/>
            <w:tcBorders>
              <w:left w:val="double" w:color="auto" w:sz="4" w:space="0"/>
              <w:bottom w:val="double" w:color="auto" w:sz="4" w:space="0"/>
            </w:tcBorders>
            <w:shd w:val="clear" w:color="auto" w:fill="DDD9C4" w:themeFill="background2" w:themeFillShade="E6"/>
            <w:vAlign w:val="center"/>
          </w:tcPr>
          <w:p w14:paraId="58F00846">
            <w:pPr>
              <w:keepNext w:val="0"/>
              <w:keepLines w:val="0"/>
              <w:pageBreakBefore w:val="0"/>
              <w:widowControl w:val="0"/>
              <w:kinsoku/>
              <w:overflowPunct/>
              <w:topLinePunct w:val="0"/>
              <w:bidi w:val="0"/>
              <w:spacing w:line="360" w:lineRule="auto"/>
              <w:jc w:val="center"/>
              <w:rPr>
                <w:rFonts w:hint="eastAsia" w:ascii="宋体" w:hAnsi="宋体" w:eastAsia="宋体" w:cs="宋体"/>
              </w:rPr>
            </w:pPr>
            <w:r>
              <w:rPr>
                <w:rFonts w:hint="eastAsia" w:ascii="宋体" w:hAnsi="宋体" w:eastAsia="宋体" w:cs="宋体"/>
                <w:b/>
              </w:rPr>
              <w:t>合  计</w:t>
            </w:r>
            <w:r>
              <w:rPr>
                <w:rFonts w:hint="eastAsia" w:ascii="宋体" w:hAnsi="宋体" w:eastAsia="宋体" w:cs="宋体"/>
                <w:b/>
                <w:lang w:eastAsia="zh-CN"/>
              </w:rPr>
              <w:t>（</w:t>
            </w:r>
            <w:r>
              <w:rPr>
                <w:rFonts w:hint="eastAsia" w:ascii="宋体" w:hAnsi="宋体" w:eastAsia="宋体" w:cs="宋体"/>
                <w:b/>
              </w:rPr>
              <w:t>人民币</w:t>
            </w:r>
            <w:r>
              <w:rPr>
                <w:rFonts w:hint="eastAsia" w:ascii="宋体" w:hAnsi="宋体" w:eastAsia="宋体" w:cs="宋体"/>
                <w:b/>
                <w:lang w:val="en-US" w:eastAsia="zh-CN"/>
              </w:rPr>
              <w:t>/</w:t>
            </w:r>
            <w:r>
              <w:rPr>
                <w:rFonts w:hint="eastAsia" w:ascii="宋体" w:hAnsi="宋体" w:eastAsia="宋体" w:cs="宋体"/>
                <w:b/>
              </w:rPr>
              <w:t>元</w:t>
            </w:r>
            <w:r>
              <w:rPr>
                <w:rFonts w:hint="eastAsia" w:ascii="宋体" w:hAnsi="宋体" w:eastAsia="宋体" w:cs="宋体"/>
                <w:b/>
                <w:lang w:eastAsia="zh-CN"/>
              </w:rPr>
              <w:t>）</w:t>
            </w:r>
            <w:r>
              <w:rPr>
                <w:rFonts w:hint="eastAsia" w:ascii="宋体" w:hAnsi="宋体" w:eastAsia="宋体" w:cs="宋体"/>
                <w:b/>
              </w:rPr>
              <w:t>：</w:t>
            </w:r>
          </w:p>
        </w:tc>
        <w:tc>
          <w:tcPr>
            <w:tcW w:w="1889" w:type="dxa"/>
            <w:tcBorders>
              <w:bottom w:val="double" w:color="auto" w:sz="4" w:space="0"/>
              <w:right w:val="double" w:color="auto" w:sz="4" w:space="0"/>
            </w:tcBorders>
            <w:vAlign w:val="center"/>
          </w:tcPr>
          <w:p w14:paraId="7F32E3E5">
            <w:pPr>
              <w:keepNext w:val="0"/>
              <w:keepLines w:val="0"/>
              <w:pageBreakBefore w:val="0"/>
              <w:widowControl w:val="0"/>
              <w:kinsoku/>
              <w:overflowPunct/>
              <w:topLinePunct w:val="0"/>
              <w:bidi w:val="0"/>
              <w:spacing w:line="360" w:lineRule="auto"/>
              <w:jc w:val="center"/>
              <w:rPr>
                <w:rFonts w:hint="eastAsia" w:ascii="宋体" w:hAnsi="宋体" w:eastAsia="宋体" w:cs="宋体"/>
              </w:rPr>
            </w:pPr>
          </w:p>
        </w:tc>
      </w:tr>
    </w:tbl>
    <w:p w14:paraId="7BCF6742">
      <w:pPr>
        <w:spacing w:line="360" w:lineRule="auto"/>
        <w:ind w:firstLine="420" w:firstLineChars="200"/>
        <w:jc w:val="left"/>
        <w:rPr>
          <w:rFonts w:hint="default" w:ascii="宋体" w:hAnsi="宋体"/>
          <w:szCs w:val="21"/>
          <w:lang w:val="en-US"/>
        </w:rPr>
      </w:pPr>
      <w:r>
        <w:rPr>
          <w:rFonts w:hint="eastAsia" w:ascii="宋体" w:hAnsi="宋体" w:eastAsia="宋体" w:cs="宋体"/>
        </w:rPr>
        <w:t>注：本表格式</w:t>
      </w:r>
      <w:r>
        <w:rPr>
          <w:rFonts w:hint="eastAsia" w:ascii="宋体" w:hAnsi="宋体" w:eastAsia="宋体" w:cs="宋体"/>
          <w:lang w:val="en-US" w:eastAsia="zh-CN"/>
        </w:rPr>
        <w:t>为固定模板</w:t>
      </w:r>
      <w:r>
        <w:rPr>
          <w:rFonts w:hint="eastAsia" w:ascii="宋体" w:hAnsi="宋体" w:eastAsia="宋体" w:cs="宋体"/>
        </w:rPr>
        <w:t>，</w:t>
      </w:r>
      <w:r>
        <w:rPr>
          <w:rFonts w:hint="eastAsia" w:ascii="宋体" w:hAnsi="宋体" w:eastAsia="宋体" w:cs="宋体"/>
          <w:lang w:val="en-US" w:eastAsia="zh-CN"/>
        </w:rPr>
        <w:t>投标人不可修改调整，</w:t>
      </w:r>
      <w:r>
        <w:rPr>
          <w:rFonts w:hint="eastAsia" w:ascii="宋体" w:hAnsi="宋体" w:eastAsia="宋体" w:cs="宋体"/>
        </w:rPr>
        <w:t>报价表上的合计金额应与开标一览表的投标报价金额一致。</w:t>
      </w:r>
    </w:p>
    <w:p w14:paraId="36B570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szCs w:val="21"/>
          <w:lang w:eastAsia="zh-CN"/>
        </w:rPr>
      </w:pPr>
      <w:r>
        <w:rPr>
          <w:rFonts w:hint="eastAsia" w:ascii="宋体" w:hAnsi="宋体" w:cs="Times New Roman"/>
          <w:b/>
          <w:bCs/>
          <w:kern w:val="2"/>
          <w:sz w:val="21"/>
          <w:szCs w:val="21"/>
          <w:lang w:val="en-US" w:eastAsia="zh-CN" w:bidi="ar-SA"/>
        </w:rPr>
        <w:t>（五）</w:t>
      </w:r>
      <w:r>
        <w:rPr>
          <w:rFonts w:hint="eastAsia" w:ascii="宋体" w:hAnsi="宋体"/>
          <w:b/>
          <w:bCs/>
          <w:szCs w:val="21"/>
        </w:rPr>
        <w:t>付款方式</w:t>
      </w:r>
      <w:r>
        <w:rPr>
          <w:rFonts w:hint="eastAsia" w:ascii="宋体" w:hAnsi="宋体"/>
          <w:b/>
          <w:bCs/>
          <w:szCs w:val="21"/>
          <w:lang w:eastAsia="zh-CN"/>
        </w:rPr>
        <w:t>：</w:t>
      </w:r>
    </w:p>
    <w:p w14:paraId="305645F2">
      <w:pPr>
        <w:numPr>
          <w:ilvl w:val="0"/>
          <w:numId w:val="0"/>
        </w:numPr>
        <w:spacing w:line="360" w:lineRule="auto"/>
        <w:ind w:firstLine="420" w:firstLineChars="200"/>
        <w:jc w:val="left"/>
        <w:rPr>
          <w:rFonts w:ascii="宋体" w:hAnsi="宋体"/>
          <w:szCs w:val="21"/>
        </w:rPr>
      </w:pPr>
      <w:r>
        <w:rPr>
          <w:rFonts w:hint="eastAsia" w:ascii="宋体" w:hAnsi="宋体"/>
          <w:szCs w:val="21"/>
        </w:rPr>
        <w:t>合同签署后，</w:t>
      </w:r>
      <w:r>
        <w:rPr>
          <w:rFonts w:hint="eastAsia" w:ascii="宋体" w:hAnsi="宋体"/>
          <w:szCs w:val="21"/>
          <w:lang w:val="en-US" w:eastAsia="zh-CN"/>
        </w:rPr>
        <w:t>采购人</w:t>
      </w:r>
      <w:r>
        <w:rPr>
          <w:rFonts w:hint="eastAsia" w:ascii="宋体" w:hAnsi="宋体"/>
          <w:szCs w:val="21"/>
        </w:rPr>
        <w:t>收到</w:t>
      </w:r>
      <w:r>
        <w:rPr>
          <w:rFonts w:hint="eastAsia" w:ascii="宋体" w:hAnsi="宋体"/>
          <w:szCs w:val="21"/>
          <w:lang w:val="en-US" w:eastAsia="zh-CN"/>
        </w:rPr>
        <w:t>中标人</w:t>
      </w:r>
      <w:r>
        <w:rPr>
          <w:rFonts w:hint="eastAsia" w:ascii="宋体" w:hAnsi="宋体"/>
          <w:szCs w:val="21"/>
        </w:rPr>
        <w:t>开具的发票后10个工作日内支付项目合同总额的60%</w:t>
      </w:r>
      <w:r>
        <w:rPr>
          <w:rFonts w:hint="eastAsia" w:ascii="宋体" w:hAnsi="宋体"/>
          <w:szCs w:val="21"/>
          <w:lang w:eastAsia="zh-CN"/>
        </w:rPr>
        <w:t>；</w:t>
      </w:r>
      <w:r>
        <w:rPr>
          <w:rFonts w:hint="eastAsia" w:ascii="宋体" w:hAnsi="宋体"/>
          <w:szCs w:val="21"/>
        </w:rPr>
        <w:t>2025年</w:t>
      </w:r>
      <w:r>
        <w:rPr>
          <w:rFonts w:hint="eastAsia" w:ascii="宋体" w:hAnsi="宋体"/>
          <w:szCs w:val="21"/>
          <w:lang w:val="en-US" w:eastAsia="zh-CN"/>
        </w:rPr>
        <w:t>0</w:t>
      </w:r>
      <w:r>
        <w:rPr>
          <w:rFonts w:hint="eastAsia" w:ascii="宋体" w:hAnsi="宋体"/>
          <w:szCs w:val="21"/>
        </w:rPr>
        <w:t>9月30日前，</w:t>
      </w:r>
      <w:r>
        <w:rPr>
          <w:rFonts w:hint="eastAsia" w:ascii="宋体" w:hAnsi="宋体"/>
          <w:szCs w:val="21"/>
          <w:lang w:val="en-US" w:eastAsia="zh-CN"/>
        </w:rPr>
        <w:t>中标人</w:t>
      </w:r>
      <w:r>
        <w:rPr>
          <w:rFonts w:hint="eastAsia" w:ascii="宋体" w:hAnsi="宋体"/>
          <w:szCs w:val="21"/>
        </w:rPr>
        <w:t>提供项目中期服务报告，且经</w:t>
      </w:r>
      <w:r>
        <w:rPr>
          <w:rFonts w:hint="eastAsia" w:ascii="宋体" w:hAnsi="宋体"/>
          <w:szCs w:val="21"/>
          <w:lang w:val="en-US" w:eastAsia="zh-CN"/>
        </w:rPr>
        <w:t>采购人</w:t>
      </w:r>
      <w:r>
        <w:rPr>
          <w:rFonts w:hint="eastAsia" w:ascii="宋体" w:hAnsi="宋体"/>
          <w:szCs w:val="21"/>
        </w:rPr>
        <w:t>验收合格后，</w:t>
      </w:r>
      <w:r>
        <w:rPr>
          <w:rFonts w:hint="eastAsia" w:ascii="宋体" w:hAnsi="宋体"/>
          <w:szCs w:val="21"/>
          <w:lang w:val="en-US" w:eastAsia="zh-CN"/>
        </w:rPr>
        <w:t>采购人</w:t>
      </w:r>
      <w:r>
        <w:rPr>
          <w:rFonts w:hint="eastAsia" w:ascii="宋体" w:hAnsi="宋体"/>
          <w:szCs w:val="21"/>
        </w:rPr>
        <w:t>收到</w:t>
      </w:r>
      <w:r>
        <w:rPr>
          <w:rFonts w:hint="eastAsia" w:ascii="宋体" w:hAnsi="宋体"/>
          <w:szCs w:val="21"/>
          <w:lang w:val="en-US" w:eastAsia="zh-CN"/>
        </w:rPr>
        <w:t>中标人</w:t>
      </w:r>
      <w:r>
        <w:rPr>
          <w:rFonts w:hint="eastAsia" w:ascii="宋体" w:hAnsi="宋体"/>
          <w:szCs w:val="21"/>
        </w:rPr>
        <w:t>开具的发票后10个工作日内支付项目合同总额的30%</w:t>
      </w:r>
      <w:r>
        <w:rPr>
          <w:rFonts w:hint="eastAsia" w:ascii="宋体" w:hAnsi="宋体"/>
          <w:szCs w:val="21"/>
          <w:lang w:eastAsia="zh-CN"/>
        </w:rPr>
        <w:t>；</w:t>
      </w:r>
      <w:r>
        <w:rPr>
          <w:rFonts w:hint="eastAsia" w:ascii="宋体" w:hAnsi="宋体"/>
          <w:szCs w:val="21"/>
        </w:rPr>
        <w:t>2025年12月，</w:t>
      </w:r>
      <w:r>
        <w:rPr>
          <w:rFonts w:hint="eastAsia" w:ascii="宋体" w:hAnsi="宋体"/>
          <w:szCs w:val="21"/>
          <w:lang w:val="en-US" w:eastAsia="zh-CN"/>
        </w:rPr>
        <w:t>中标人</w:t>
      </w:r>
      <w:r>
        <w:rPr>
          <w:rFonts w:hint="eastAsia" w:ascii="宋体" w:hAnsi="宋体"/>
          <w:szCs w:val="21"/>
        </w:rPr>
        <w:t>提供项目年度服务报告，且经</w:t>
      </w:r>
      <w:r>
        <w:rPr>
          <w:rFonts w:hint="eastAsia" w:ascii="宋体" w:hAnsi="宋体"/>
          <w:szCs w:val="21"/>
          <w:lang w:val="en-US" w:eastAsia="zh-CN"/>
        </w:rPr>
        <w:t>采购人</w:t>
      </w:r>
      <w:r>
        <w:rPr>
          <w:rFonts w:hint="eastAsia" w:ascii="宋体" w:hAnsi="宋体"/>
          <w:szCs w:val="21"/>
        </w:rPr>
        <w:t>验收合格后，</w:t>
      </w:r>
      <w:r>
        <w:rPr>
          <w:rFonts w:hint="eastAsia" w:ascii="宋体" w:hAnsi="宋体"/>
          <w:szCs w:val="21"/>
          <w:lang w:val="en-US" w:eastAsia="zh-CN"/>
        </w:rPr>
        <w:t>采购人</w:t>
      </w:r>
      <w:r>
        <w:rPr>
          <w:rFonts w:hint="eastAsia" w:ascii="宋体" w:hAnsi="宋体"/>
          <w:szCs w:val="21"/>
        </w:rPr>
        <w:t>收到</w:t>
      </w:r>
      <w:r>
        <w:rPr>
          <w:rFonts w:hint="eastAsia" w:ascii="宋体" w:hAnsi="宋体"/>
          <w:szCs w:val="21"/>
          <w:lang w:val="en-US" w:eastAsia="zh-CN"/>
        </w:rPr>
        <w:t>中标人</w:t>
      </w:r>
      <w:r>
        <w:rPr>
          <w:rFonts w:hint="eastAsia" w:ascii="宋体" w:hAnsi="宋体"/>
          <w:szCs w:val="21"/>
        </w:rPr>
        <w:t>开具的发票后10个工作日内支付合同金额的</w:t>
      </w:r>
      <w:r>
        <w:rPr>
          <w:rFonts w:hint="eastAsia" w:ascii="宋体" w:hAnsi="宋体"/>
          <w:szCs w:val="21"/>
          <w:lang w:val="en-US" w:eastAsia="zh-CN"/>
        </w:rPr>
        <w:t>10%</w:t>
      </w:r>
      <w:r>
        <w:rPr>
          <w:rFonts w:hint="eastAsia" w:ascii="宋体" w:hAnsi="宋体"/>
          <w:szCs w:val="21"/>
        </w:rPr>
        <w:t>。</w:t>
      </w:r>
    </w:p>
    <w:p w14:paraId="1075F45E">
      <w:pPr>
        <w:spacing w:line="360" w:lineRule="auto"/>
        <w:ind w:firstLine="420" w:firstLineChars="200"/>
        <w:rPr>
          <w:rFonts w:ascii="宋体" w:hAnsi="宋体" w:cs="楷体"/>
          <w:bCs/>
          <w:szCs w:val="24"/>
        </w:rPr>
      </w:pPr>
    </w:p>
    <w:p w14:paraId="4A3354C9">
      <w:pPr>
        <w:pStyle w:val="6"/>
        <w:spacing w:beforeLines="50" w:afterLines="50"/>
        <w:rPr>
          <w:sz w:val="28"/>
          <w:szCs w:val="28"/>
        </w:rPr>
      </w:pPr>
      <w:r>
        <w:rPr>
          <w:rFonts w:hint="eastAsia"/>
          <w:b/>
          <w:bCs/>
          <w:sz w:val="28"/>
          <w:szCs w:val="28"/>
        </w:rPr>
        <w:t>六、演示要求</w:t>
      </w:r>
    </w:p>
    <w:p w14:paraId="429E9619">
      <w:pPr>
        <w:spacing w:beforeLines="25" w:afterLines="25" w:line="360" w:lineRule="auto"/>
        <w:ind w:firstLine="392" w:firstLineChars="187"/>
        <w:rPr>
          <w:rFonts w:ascii="宋体" w:hAnsi="宋体" w:cs="宋体"/>
          <w:szCs w:val="21"/>
        </w:rPr>
      </w:pPr>
      <w:r>
        <w:rPr>
          <w:rFonts w:hint="eastAsia" w:ascii="宋体" w:hAnsi="宋体" w:cs="宋体"/>
          <w:szCs w:val="21"/>
        </w:rPr>
        <w:t>（一）总体要求：</w:t>
      </w:r>
    </w:p>
    <w:p w14:paraId="7835D409">
      <w:pPr>
        <w:spacing w:beforeLines="25" w:afterLines="25" w:line="360" w:lineRule="auto"/>
        <w:ind w:firstLine="392" w:firstLineChars="187"/>
        <w:rPr>
          <w:rFonts w:ascii="宋体" w:hAnsi="宋体" w:cs="宋体"/>
          <w:szCs w:val="21"/>
        </w:rPr>
      </w:pPr>
      <w:r>
        <w:rPr>
          <w:rFonts w:hint="eastAsia" w:ascii="宋体" w:hAnsi="宋体" w:cs="宋体"/>
          <w:szCs w:val="21"/>
        </w:rPr>
        <w:t>演示地点提供电源、投影仪及宽带上网环境（有WIFI），由投标人代表自带手提电脑、无线路由器、便携式服务器、U盘及其它能完成演示操作的设备（具体以投标人实际需要为准）进行演示。由于演示场地有限，建议勿携带过大设备进行演示。</w:t>
      </w:r>
    </w:p>
    <w:p w14:paraId="18C48D1A">
      <w:pPr>
        <w:spacing w:beforeLines="25" w:afterLines="25" w:line="360" w:lineRule="auto"/>
        <w:ind w:firstLine="392" w:firstLineChars="187"/>
        <w:rPr>
          <w:rFonts w:ascii="宋体" w:hAnsi="宋体" w:cs="宋体"/>
          <w:szCs w:val="21"/>
        </w:rPr>
      </w:pPr>
      <w:r>
        <w:rPr>
          <w:rFonts w:hint="eastAsia" w:ascii="宋体" w:hAnsi="宋体" w:cs="宋体"/>
          <w:szCs w:val="21"/>
        </w:rPr>
        <w:t>每个投标人的现场演示时间不超过10分钟（演示期间评委将进行提问，并有权酌情延长时间），现场演示人员不得超过2人。</w:t>
      </w:r>
    </w:p>
    <w:p w14:paraId="0C0F6BF0">
      <w:pPr>
        <w:spacing w:beforeLines="25" w:afterLines="25" w:line="360" w:lineRule="auto"/>
        <w:ind w:firstLine="392" w:firstLineChars="187"/>
        <w:rPr>
          <w:rFonts w:ascii="宋体" w:hAnsi="宋体" w:cs="宋体"/>
          <w:szCs w:val="21"/>
        </w:rPr>
      </w:pPr>
      <w:r>
        <w:rPr>
          <w:rFonts w:hint="eastAsia" w:ascii="宋体" w:hAnsi="宋体" w:cs="宋体"/>
          <w:szCs w:val="21"/>
        </w:rPr>
        <w:t>（二）签到要求：</w:t>
      </w:r>
    </w:p>
    <w:p w14:paraId="7B4F1A5C">
      <w:pPr>
        <w:spacing w:beforeLines="25" w:afterLines="25" w:line="360" w:lineRule="auto"/>
        <w:ind w:firstLine="392" w:firstLineChars="187"/>
        <w:rPr>
          <w:rFonts w:ascii="宋体" w:hAnsi="宋体" w:cs="宋体"/>
          <w:szCs w:val="21"/>
        </w:rPr>
      </w:pPr>
      <w:r>
        <w:rPr>
          <w:rFonts w:hint="eastAsia" w:ascii="宋体" w:hAnsi="宋体" w:cs="宋体"/>
          <w:szCs w:val="21"/>
        </w:rPr>
        <w:t>参加现场演示的投标人须在</w:t>
      </w:r>
      <w:r>
        <w:rPr>
          <w:rFonts w:hint="eastAsia" w:ascii="宋体" w:hAnsi="宋体" w:cs="宋体"/>
          <w:b/>
          <w:bCs/>
          <w:szCs w:val="21"/>
          <w:highlight w:val="yellow"/>
          <w:lang w:eastAsia="zh-CN"/>
        </w:rPr>
        <w:t>2025</w:t>
      </w:r>
      <w:r>
        <w:rPr>
          <w:rFonts w:hint="eastAsia" w:ascii="宋体" w:hAnsi="宋体" w:cs="宋体"/>
          <w:b/>
          <w:bCs/>
          <w:szCs w:val="21"/>
          <w:highlight w:val="yellow"/>
        </w:rPr>
        <w:t>年</w:t>
      </w:r>
      <w:r>
        <w:rPr>
          <w:rFonts w:hint="eastAsia" w:ascii="宋体" w:hAnsi="宋体" w:cs="宋体"/>
          <w:b/>
          <w:bCs/>
          <w:szCs w:val="21"/>
          <w:highlight w:val="yellow"/>
          <w:lang w:val="en-US" w:eastAsia="zh-CN"/>
        </w:rPr>
        <w:t>01</w:t>
      </w:r>
      <w:r>
        <w:rPr>
          <w:rFonts w:hint="eastAsia" w:ascii="宋体" w:hAnsi="宋体" w:cs="宋体"/>
          <w:b/>
          <w:bCs/>
          <w:szCs w:val="21"/>
          <w:highlight w:val="yellow"/>
        </w:rPr>
        <w:t>月</w:t>
      </w:r>
      <w:r>
        <w:rPr>
          <w:rFonts w:hint="eastAsia" w:ascii="宋体" w:hAnsi="宋体" w:cs="宋体"/>
          <w:b/>
          <w:bCs/>
          <w:szCs w:val="21"/>
          <w:highlight w:val="yellow"/>
          <w:lang w:val="en-US" w:eastAsia="zh-CN"/>
        </w:rPr>
        <w:t>20</w:t>
      </w:r>
      <w:r>
        <w:rPr>
          <w:rFonts w:hint="eastAsia" w:ascii="宋体" w:hAnsi="宋体" w:cs="宋体"/>
          <w:b/>
          <w:bCs/>
          <w:szCs w:val="21"/>
          <w:highlight w:val="yellow"/>
        </w:rPr>
        <w:t>日15:00（北京时间）</w:t>
      </w:r>
      <w:r>
        <w:rPr>
          <w:rFonts w:hint="eastAsia" w:ascii="宋体" w:hAnsi="宋体" w:cs="宋体"/>
          <w:b/>
          <w:szCs w:val="21"/>
          <w:highlight w:val="yellow"/>
        </w:rPr>
        <w:t>前，携带法定代表人证明书（盖公章）及法人授权委托书（盖公章）</w:t>
      </w:r>
      <w:r>
        <w:rPr>
          <w:rFonts w:hint="eastAsia" w:ascii="宋体" w:hAnsi="宋体" w:cs="宋体"/>
          <w:szCs w:val="21"/>
        </w:rPr>
        <w:t>，到达深圳市中正招标有限公司开标室，按工作人员指引进行签到。</w:t>
      </w:r>
    </w:p>
    <w:p w14:paraId="276D6A96">
      <w:pPr>
        <w:spacing w:beforeLines="25" w:afterLines="25" w:line="360" w:lineRule="auto"/>
        <w:ind w:firstLine="394" w:firstLineChars="187"/>
        <w:rPr>
          <w:rFonts w:ascii="宋体" w:hAnsi="宋体" w:cs="宋体"/>
          <w:b/>
          <w:szCs w:val="21"/>
        </w:rPr>
      </w:pPr>
      <w:r>
        <w:rPr>
          <w:rFonts w:hint="eastAsia" w:ascii="宋体" w:hAnsi="宋体" w:cs="宋体"/>
          <w:b/>
          <w:szCs w:val="21"/>
          <w:highlight w:val="yellow"/>
        </w:rPr>
        <w:t>特别注意事项：（1）资料提供不齐全的，不予签到；（2）签到截止时间后不再受理签到；（3）未签到的人员，不能参与现场演示。</w:t>
      </w:r>
    </w:p>
    <w:p w14:paraId="0CEAD693">
      <w:pPr>
        <w:spacing w:beforeLines="25" w:afterLines="25" w:line="360" w:lineRule="auto"/>
        <w:ind w:firstLine="392" w:firstLineChars="187"/>
        <w:rPr>
          <w:rFonts w:hint="eastAsia" w:ascii="宋体" w:hAnsi="宋体" w:eastAsia="宋体" w:cs="宋体"/>
          <w:szCs w:val="21"/>
        </w:rPr>
      </w:pPr>
      <w:r>
        <w:rPr>
          <w:rFonts w:hint="eastAsia" w:ascii="宋体" w:hAnsi="宋体" w:cs="宋体"/>
          <w:szCs w:val="21"/>
        </w:rPr>
        <w:t>（三）演</w:t>
      </w:r>
      <w:r>
        <w:rPr>
          <w:rFonts w:hint="eastAsia" w:ascii="宋体" w:hAnsi="宋体" w:eastAsia="宋体" w:cs="宋体"/>
          <w:szCs w:val="21"/>
        </w:rPr>
        <w:t>示内容：</w:t>
      </w:r>
    </w:p>
    <w:p w14:paraId="4B771985">
      <w:pPr>
        <w:spacing w:beforeLines="25" w:afterLines="25" w:line="360" w:lineRule="auto"/>
        <w:ind w:firstLine="392" w:firstLineChars="187"/>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投标人根据本项目中涉及的“安全渗透测试”相关技术和规划方案现场演示</w:t>
      </w:r>
      <w:r>
        <w:rPr>
          <w:rFonts w:hint="eastAsia" w:ascii="宋体" w:hAnsi="宋体" w:eastAsia="宋体" w:cs="宋体"/>
          <w:szCs w:val="21"/>
          <w:lang w:eastAsia="zh-CN"/>
        </w:rPr>
        <w:t>；</w:t>
      </w:r>
    </w:p>
    <w:p w14:paraId="47CCC91C">
      <w:pPr>
        <w:spacing w:beforeLines="25" w:afterLines="25" w:line="360" w:lineRule="auto"/>
        <w:ind w:firstLine="392" w:firstLineChars="187"/>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投标人对“粤盾”、“深蓝”、“粤网安”等工作的支撑方案</w:t>
      </w:r>
      <w:r>
        <w:rPr>
          <w:rFonts w:hint="eastAsia" w:ascii="宋体" w:hAnsi="宋体" w:eastAsia="宋体" w:cs="宋体"/>
          <w:szCs w:val="21"/>
          <w:lang w:val="en-US" w:eastAsia="zh-CN"/>
        </w:rPr>
        <w:t>进行演示</w:t>
      </w:r>
      <w:r>
        <w:rPr>
          <w:rFonts w:hint="eastAsia" w:ascii="宋体" w:hAnsi="宋体" w:eastAsia="宋体" w:cs="宋体"/>
          <w:szCs w:val="21"/>
          <w:lang w:eastAsia="zh-CN"/>
        </w:rPr>
        <w:t>；</w:t>
      </w:r>
    </w:p>
    <w:p w14:paraId="05C87C25">
      <w:pPr>
        <w:spacing w:beforeLines="25" w:afterLines="25" w:line="360" w:lineRule="auto"/>
        <w:ind w:firstLine="392" w:firstLineChars="187"/>
        <w:rPr>
          <w:szCs w:val="21"/>
        </w:rPr>
      </w:pPr>
      <w:r>
        <w:rPr>
          <w:rFonts w:hint="eastAsia" w:ascii="宋体" w:hAnsi="宋体" w:eastAsia="宋体" w:cs="宋体"/>
          <w:szCs w:val="21"/>
          <w:lang w:val="en-US" w:eastAsia="zh-CN"/>
        </w:rPr>
        <w:t>3.投标人对网络威胁分析工具及API安全监测工具进行演示。</w:t>
      </w:r>
    </w:p>
    <w:p w14:paraId="4132E783">
      <w:pPr>
        <w:rPr>
          <w:rFonts w:hint="eastAsia" w:ascii="宋体" w:hAnsi="宋体"/>
          <w:b/>
          <w:kern w:val="0"/>
          <w:sz w:val="28"/>
          <w:szCs w:val="28"/>
          <w:lang w:val="en-US" w:eastAsia="zh-CN"/>
        </w:rPr>
      </w:pPr>
    </w:p>
    <w:p w14:paraId="58C3CDF5">
      <w:pPr>
        <w:spacing w:line="360" w:lineRule="auto"/>
        <w:jc w:val="center"/>
        <w:rPr>
          <w:rFonts w:ascii="宋体" w:hAnsi="宋体"/>
          <w:b/>
          <w:kern w:val="0"/>
          <w:sz w:val="28"/>
          <w:szCs w:val="28"/>
        </w:rPr>
      </w:pPr>
      <w:r>
        <w:rPr>
          <w:rFonts w:hint="eastAsia" w:ascii="宋体" w:hAnsi="宋体"/>
          <w:b/>
          <w:kern w:val="0"/>
          <w:sz w:val="28"/>
          <w:szCs w:val="28"/>
          <w:lang w:val="en-US" w:eastAsia="zh-CN"/>
        </w:rPr>
        <w:t>七</w:t>
      </w:r>
      <w:r>
        <w:rPr>
          <w:rFonts w:hint="eastAsia" w:ascii="宋体" w:hAnsi="宋体"/>
          <w:b/>
          <w:kern w:val="0"/>
          <w:sz w:val="28"/>
          <w:szCs w:val="28"/>
        </w:rPr>
        <w:t>、其他要求</w:t>
      </w:r>
    </w:p>
    <w:p w14:paraId="1CB07618">
      <w:pPr>
        <w:spacing w:line="360" w:lineRule="auto"/>
        <w:ind w:firstLine="426"/>
        <w:rPr>
          <w:rFonts w:ascii="宋体" w:hAnsi="宋体" w:eastAsiaTheme="minorEastAsia"/>
          <w:kern w:val="0"/>
          <w:szCs w:val="21"/>
          <w:lang w:val="zh-CN"/>
        </w:rPr>
      </w:pPr>
      <w:r>
        <w:rPr>
          <w:rFonts w:hint="eastAsia" w:ascii="宋体" w:hAnsi="宋体" w:eastAsiaTheme="minorEastAsia"/>
          <w:kern w:val="0"/>
          <w:szCs w:val="21"/>
          <w:highlight w:val="yellow"/>
          <w:lang w:val="zh-CN"/>
        </w:rPr>
        <w:t>★</w:t>
      </w:r>
      <w:r>
        <w:rPr>
          <w:rFonts w:hint="eastAsia" w:ascii="宋体" w:hAnsi="宋体" w:cs="宋体"/>
          <w:b/>
          <w:bCs/>
          <w:color w:val="FF0000"/>
          <w:szCs w:val="21"/>
          <w:highlight w:val="yellow"/>
        </w:rPr>
        <w:t>投标供应商须提供法定代表人（</w:t>
      </w:r>
      <w:r>
        <w:rPr>
          <w:rFonts w:hint="eastAsia" w:ascii="宋体" w:hAnsi="宋体" w:cs="宋体"/>
          <w:b/>
          <w:bCs/>
          <w:color w:val="FF0000"/>
          <w:szCs w:val="21"/>
          <w:highlight w:val="yellow"/>
          <w:lang w:eastAsia="zh-CN"/>
        </w:rPr>
        <w:t>单位</w:t>
      </w:r>
      <w:r>
        <w:rPr>
          <w:rFonts w:hint="eastAsia" w:ascii="宋体" w:hAnsi="宋体" w:cs="宋体"/>
          <w:b/>
          <w:bCs/>
          <w:color w:val="FF0000"/>
          <w:szCs w:val="21"/>
          <w:highlight w:val="yellow"/>
        </w:rPr>
        <w:t>负责人）和项目投标授权代表人在开标日前近一个月载有社保部门或税务部门公章的个人社保缴纳查询记录（不限定缴纳单位）</w:t>
      </w:r>
      <w:r>
        <w:rPr>
          <w:rFonts w:hint="eastAsia" w:ascii="宋体" w:hAnsi="宋体" w:cs="宋体"/>
          <w:szCs w:val="21"/>
          <w:highlight w:val="yellow"/>
        </w:rPr>
        <w:t>；因社保部门或税务部门原因近一个月的社保证明暂时无法提供的，可往前顺延一个月；无社保缴纳记录或无法提供</w:t>
      </w:r>
      <w:r>
        <w:rPr>
          <w:rFonts w:hint="eastAsia" w:ascii="宋体" w:hAnsi="宋体" w:cs="宋体"/>
          <w:szCs w:val="21"/>
          <w:highlight w:val="yellow"/>
          <w:lang w:eastAsia="zh-CN"/>
        </w:rPr>
        <w:t>社保证明</w:t>
      </w:r>
      <w:r>
        <w:rPr>
          <w:rFonts w:hint="eastAsia" w:ascii="宋体" w:hAnsi="宋体" w:cs="宋体"/>
          <w:szCs w:val="21"/>
          <w:highlight w:val="yellow"/>
        </w:rPr>
        <w:t>的需提供</w:t>
      </w:r>
      <w:r>
        <w:rPr>
          <w:rFonts w:hint="eastAsia" w:ascii="宋体" w:hAnsi="宋体" w:cs="宋体"/>
          <w:szCs w:val="21"/>
          <w:highlight w:val="yellow"/>
          <w:lang w:eastAsia="zh-CN"/>
        </w:rPr>
        <w:t>情况</w:t>
      </w:r>
      <w:r>
        <w:rPr>
          <w:rFonts w:hint="eastAsia" w:ascii="宋体" w:hAnsi="宋体" w:cs="宋体"/>
          <w:szCs w:val="21"/>
          <w:highlight w:val="yellow"/>
        </w:rPr>
        <w:t>说明</w:t>
      </w:r>
      <w:r>
        <w:rPr>
          <w:rFonts w:hint="eastAsia" w:ascii="宋体" w:hAnsi="宋体" w:cs="宋体"/>
          <w:szCs w:val="21"/>
          <w:highlight w:val="yellow"/>
          <w:lang w:eastAsia="zh-CN"/>
        </w:rPr>
        <w:t>并承诺与其他</w:t>
      </w:r>
      <w:r>
        <w:rPr>
          <w:rFonts w:hint="eastAsia" w:ascii="宋体" w:hAnsi="宋体" w:cs="宋体"/>
          <w:szCs w:val="21"/>
          <w:highlight w:val="yellow"/>
        </w:rPr>
        <w:t>投标供应商之间</w:t>
      </w:r>
      <w:r>
        <w:rPr>
          <w:rFonts w:hint="eastAsia" w:ascii="宋体" w:hAnsi="宋体" w:cs="宋体"/>
          <w:szCs w:val="21"/>
          <w:highlight w:val="yellow"/>
          <w:lang w:eastAsia="zh-CN"/>
        </w:rPr>
        <w:t>不</w:t>
      </w:r>
      <w:r>
        <w:rPr>
          <w:rFonts w:hint="eastAsia" w:ascii="宋体" w:hAnsi="宋体" w:cs="宋体"/>
          <w:szCs w:val="21"/>
          <w:highlight w:val="yellow"/>
        </w:rPr>
        <w:t>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w:t>
      </w:r>
      <w:r>
        <w:rPr>
          <w:rFonts w:hint="eastAsia" w:ascii="宋体" w:hAnsi="宋体" w:cs="宋体"/>
          <w:szCs w:val="21"/>
          <w:highlight w:val="yellow"/>
          <w:lang w:eastAsia="zh-CN"/>
        </w:rPr>
        <w:t>情况</w:t>
      </w:r>
      <w:r>
        <w:rPr>
          <w:rFonts w:hint="eastAsia" w:ascii="宋体" w:hAnsi="宋体" w:cs="宋体"/>
          <w:szCs w:val="21"/>
          <w:highlight w:val="yellow"/>
        </w:rPr>
        <w:t>（格式自拟）。未按要求提供</w:t>
      </w:r>
      <w:r>
        <w:rPr>
          <w:rFonts w:hint="eastAsia" w:ascii="宋体" w:hAnsi="宋体" w:cs="宋体"/>
          <w:szCs w:val="21"/>
          <w:highlight w:val="yellow"/>
          <w:lang w:eastAsia="zh-CN"/>
        </w:rPr>
        <w:t>相关</w:t>
      </w:r>
      <w:r>
        <w:rPr>
          <w:rFonts w:hint="eastAsia" w:ascii="宋体" w:hAnsi="宋体" w:cs="宋体"/>
          <w:szCs w:val="21"/>
          <w:highlight w:val="yellow"/>
        </w:rPr>
        <w:t>材料或投标供应商之间存在法定代表人（</w:t>
      </w:r>
      <w:r>
        <w:rPr>
          <w:rFonts w:hint="eastAsia" w:ascii="宋体" w:hAnsi="宋体" w:cs="宋体"/>
          <w:szCs w:val="21"/>
          <w:highlight w:val="yellow"/>
          <w:lang w:eastAsia="zh-CN"/>
        </w:rPr>
        <w:t>单位</w:t>
      </w:r>
      <w:r>
        <w:rPr>
          <w:rFonts w:hint="eastAsia" w:ascii="宋体" w:hAnsi="宋体" w:cs="宋体"/>
          <w:szCs w:val="21"/>
          <w:highlight w:val="yellow"/>
        </w:rPr>
        <w:t>负责人）、项目投标授权代表人为同一人、属同一单位或者在同一单位缴纳社保的，按投标无效处理</w:t>
      </w:r>
      <w:r>
        <w:rPr>
          <w:rFonts w:hint="eastAsia" w:ascii="宋体" w:hAnsi="宋体" w:eastAsiaTheme="minorEastAsia"/>
          <w:kern w:val="0"/>
          <w:szCs w:val="21"/>
          <w:highlight w:val="yellow"/>
          <w:lang w:val="zh-CN"/>
        </w:rPr>
        <w:t>。</w:t>
      </w:r>
    </w:p>
    <w:p w14:paraId="1D20C63D">
      <w:pPr>
        <w:spacing w:beforeLines="25" w:afterLines="25"/>
        <w:rPr>
          <w:rFonts w:ascii="宋体" w:hAnsi="宋体"/>
          <w:szCs w:val="21"/>
        </w:rPr>
      </w:pPr>
    </w:p>
    <w:p w14:paraId="7008324F">
      <w:pPr>
        <w:widowControl/>
        <w:jc w:val="left"/>
        <w:rPr>
          <w:rFonts w:ascii="宋体" w:hAnsi="宋体"/>
          <w:szCs w:val="21"/>
        </w:rPr>
      </w:pPr>
      <w:r>
        <w:rPr>
          <w:rFonts w:ascii="宋体" w:hAnsi="宋体"/>
          <w:szCs w:val="21"/>
        </w:rPr>
        <w:br w:type="page"/>
      </w:r>
    </w:p>
    <w:p w14:paraId="492CD520">
      <w:pPr>
        <w:keepNext/>
        <w:keepLines/>
        <w:adjustRightInd w:val="0"/>
        <w:spacing w:before="260" w:after="260"/>
        <w:jc w:val="center"/>
        <w:textAlignment w:val="baseline"/>
        <w:outlineLvl w:val="1"/>
        <w:rPr>
          <w:rFonts w:ascii="宋体" w:hAnsi="宋体"/>
          <w:b/>
          <w:bCs/>
          <w:sz w:val="24"/>
          <w:szCs w:val="20"/>
        </w:rPr>
      </w:pPr>
      <w:r>
        <w:rPr>
          <w:rFonts w:hint="eastAsia" w:ascii="宋体" w:hAnsi="宋体"/>
          <w:b/>
          <w:bCs/>
          <w:sz w:val="24"/>
          <w:szCs w:val="20"/>
        </w:rPr>
        <w:t>第三章</w:t>
      </w:r>
      <w:r>
        <w:rPr>
          <w:rFonts w:ascii="宋体" w:hAnsi="宋体"/>
          <w:b/>
          <w:bCs/>
          <w:sz w:val="24"/>
          <w:szCs w:val="20"/>
        </w:rPr>
        <w:t xml:space="preserve"> </w:t>
      </w:r>
      <w:r>
        <w:rPr>
          <w:rFonts w:hint="eastAsia" w:ascii="宋体" w:hAnsi="宋体"/>
          <w:b/>
          <w:bCs/>
          <w:sz w:val="24"/>
          <w:szCs w:val="20"/>
        </w:rPr>
        <w:t xml:space="preserve"> 投标文件格式、附件</w:t>
      </w:r>
    </w:p>
    <w:p w14:paraId="202D33FA">
      <w:pPr>
        <w:rPr>
          <w:rFonts w:ascii="Times New Roman" w:hAnsi="Times New Roman"/>
          <w:b/>
          <w:bCs/>
          <w:sz w:val="24"/>
          <w:szCs w:val="32"/>
        </w:rPr>
      </w:pPr>
      <w:r>
        <w:rPr>
          <w:rFonts w:hint="eastAsia" w:ascii="Times New Roman" w:hAnsi="Times New Roman"/>
          <w:b/>
          <w:bCs/>
          <w:sz w:val="24"/>
          <w:szCs w:val="32"/>
        </w:rPr>
        <w:t>特别提醒：</w:t>
      </w:r>
    </w:p>
    <w:p w14:paraId="74EDECB6">
      <w:pPr>
        <w:rPr>
          <w:rFonts w:ascii="Times New Roman" w:hAnsi="Times New Roman"/>
          <w:b/>
          <w:bCs/>
          <w:sz w:val="24"/>
          <w:szCs w:val="32"/>
        </w:rPr>
      </w:pPr>
    </w:p>
    <w:p w14:paraId="3A16F6BE">
      <w:pPr>
        <w:widowControl/>
        <w:ind w:firstLine="482" w:firstLineChars="200"/>
        <w:jc w:val="left"/>
        <w:rPr>
          <w:rFonts w:ascii="仿宋_GB2312" w:hAnsi="Times New Roman" w:eastAsia="仿宋_GB2312"/>
          <w:kern w:val="0"/>
          <w:sz w:val="24"/>
          <w:szCs w:val="24"/>
        </w:rPr>
      </w:pPr>
      <w:r>
        <w:rPr>
          <w:rFonts w:hint="eastAsia" w:ascii="仿宋_GB2312" w:hAnsi="Times New Roman" w:eastAsia="仿宋_GB2312"/>
          <w:b/>
          <w:kern w:val="0"/>
          <w:sz w:val="24"/>
          <w:szCs w:val="24"/>
        </w:rPr>
        <w:t>投标文件正文将对外公开，投标文件附件不公开。</w:t>
      </w:r>
      <w:r>
        <w:rPr>
          <w:rFonts w:hint="eastAsia" w:ascii="仿宋_GB2312" w:hAnsi="Times New Roman" w:eastAsia="仿宋_GB2312"/>
          <w:kern w:val="0"/>
          <w:sz w:val="24"/>
          <w:szCs w:val="24"/>
        </w:rPr>
        <w:t>投标人在编辑投标文件时，在投标文件目录中属于本节点内容的必须在本节点中填写，填写到其他节点或附件的将可能导致投标无效，一切后果由供应商自行承担。</w:t>
      </w:r>
    </w:p>
    <w:p w14:paraId="354AACC0">
      <w:pPr>
        <w:widowControl/>
        <w:jc w:val="left"/>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投标人应按招标文件规定的“投标文件组成”编制投标文件正文（信息公开部分）和投标文件附件（信息不公开部分），举例如下图：</w:t>
      </w:r>
    </w:p>
    <w:p w14:paraId="16F2548A">
      <w:pPr>
        <w:widowControl/>
        <w:jc w:val="center"/>
        <w:rPr>
          <w:rFonts w:ascii="宋体" w:hAnsi="宋体" w:cs="宋体" w:eastAsiaTheme="minorEastAsia"/>
          <w:kern w:val="0"/>
          <w:sz w:val="24"/>
          <w:szCs w:val="24"/>
          <w:highlight w:val="green"/>
        </w:rPr>
      </w:pPr>
      <w:r>
        <w:rPr>
          <w:rFonts w:ascii="仿宋_GB2312" w:hAnsi="Times New Roman" w:eastAsia="仿宋_GB2312"/>
          <w:kern w:val="0"/>
          <w:sz w:val="24"/>
          <w:szCs w:val="24"/>
          <w:highlight w:val="green"/>
        </w:rPr>
        <w:drawing>
          <wp:inline distT="0" distB="0" distL="0" distR="0">
            <wp:extent cx="5278755" cy="4126230"/>
            <wp:effectExtent l="0" t="0" r="0" b="0"/>
            <wp:docPr id="2"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14:paraId="3C8CCC59">
      <w:pPr>
        <w:widowControl/>
        <w:jc w:val="center"/>
        <w:rPr>
          <w:rFonts w:ascii="仿宋_GB2312" w:hAnsi="Times New Roman" w:eastAsia="仿宋_GB2312"/>
          <w:kern w:val="0"/>
          <w:sz w:val="24"/>
          <w:szCs w:val="24"/>
          <w:highlight w:val="green"/>
        </w:rPr>
      </w:pPr>
    </w:p>
    <w:p w14:paraId="6FBBADD0">
      <w:pPr>
        <w:widowControl/>
        <w:ind w:firstLine="480" w:firstLineChars="200"/>
        <w:jc w:val="left"/>
        <w:rPr>
          <w:rFonts w:ascii="仿宋_GB2312" w:hAnsi="Times New Roman" w:eastAsia="仿宋_GB2312"/>
          <w:b/>
          <w:kern w:val="0"/>
          <w:sz w:val="24"/>
          <w:szCs w:val="24"/>
        </w:rPr>
      </w:pPr>
      <w:bookmarkStart w:id="9" w:name="_Hlk72257167"/>
      <w:r>
        <w:rPr>
          <w:rFonts w:hint="eastAsia" w:ascii="仿宋_GB2312" w:hAnsi="Times New Roman" w:eastAsia="仿宋_GB2312"/>
          <w:kern w:val="0"/>
          <w:sz w:val="24"/>
          <w:szCs w:val="24"/>
        </w:rPr>
        <w:t>采购代理机构公布投标文件正文（信息公开部分）时为计算机截取信息自动公布，</w:t>
      </w:r>
      <w:r>
        <w:rPr>
          <w:rFonts w:hint="eastAsia" w:ascii="仿宋_GB2312" w:hAnsi="Times New Roman" w:eastAsia="仿宋_GB2312"/>
          <w:b/>
          <w:bCs/>
          <w:kern w:val="0"/>
          <w:sz w:val="24"/>
          <w:szCs w:val="24"/>
        </w:rPr>
        <w:t>如投标人误将涉及个人隐私或其他重要信息放入投标文件正文，相关后果由投标人自负；</w:t>
      </w:r>
      <w:r>
        <w:rPr>
          <w:rFonts w:hint="eastAsia" w:ascii="仿宋_GB2312" w:hAnsi="Times New Roman" w:eastAsia="仿宋_GB2312"/>
          <w:b/>
          <w:kern w:val="0"/>
          <w:sz w:val="24"/>
          <w:szCs w:val="24"/>
        </w:rPr>
        <w:t>如投标人将必须放于投标文件正文（信息公开部分）的内容放入投标文件附件（信息不公开部分），将作投标无效处理。</w:t>
      </w:r>
    </w:p>
    <w:bookmarkEnd w:id="9"/>
    <w:p w14:paraId="40A04506">
      <w:pPr>
        <w:rPr>
          <w:rFonts w:ascii="仿宋_GB2312" w:hAnsi="Times New Roman" w:eastAsia="仿宋_GB2312"/>
          <w:sz w:val="24"/>
          <w:szCs w:val="24"/>
        </w:rPr>
      </w:pPr>
    </w:p>
    <w:p w14:paraId="46739B78">
      <w:pPr>
        <w:rPr>
          <w:rFonts w:ascii="宋体" w:hAnsi="宋体"/>
          <w:sz w:val="24"/>
        </w:rPr>
      </w:pPr>
      <w:r>
        <w:rPr>
          <w:rFonts w:hint="eastAsia" w:ascii="宋体" w:hAnsi="宋体"/>
          <w:sz w:val="24"/>
        </w:rPr>
        <w:t>投标文件组成：</w:t>
      </w:r>
    </w:p>
    <w:p w14:paraId="208BEAA7">
      <w:pPr>
        <w:ind w:firstLine="424" w:firstLineChars="202"/>
        <w:rPr>
          <w:rFonts w:ascii="宋体" w:hAnsi="宋体"/>
          <w:sz w:val="24"/>
        </w:rPr>
      </w:pPr>
      <w:r>
        <w:rPr>
          <w:rFonts w:hint="eastAsia" w:ascii="宋体" w:hAnsi="宋体"/>
        </w:rPr>
        <w:t>1.</w:t>
      </w:r>
      <w:r>
        <w:rPr>
          <w:rFonts w:hint="eastAsia" w:ascii="宋体" w:hAnsi="宋体"/>
          <w:b/>
        </w:rPr>
        <w:t>投标文件正文</w:t>
      </w:r>
      <w:r>
        <w:rPr>
          <w:rFonts w:hint="eastAsia" w:ascii="宋体" w:hAnsi="宋体"/>
          <w:b/>
          <w:szCs w:val="21"/>
        </w:rPr>
        <w:t>（信息公开部分）</w:t>
      </w:r>
      <w:r>
        <w:rPr>
          <w:rFonts w:hint="eastAsia" w:ascii="宋体" w:hAnsi="宋体"/>
        </w:rPr>
        <w:t>，主要</w:t>
      </w:r>
      <w:r>
        <w:rPr>
          <w:rFonts w:hint="eastAsia" w:ascii="宋体" w:hAnsi="宋体"/>
          <w:szCs w:val="21"/>
        </w:rPr>
        <w:t>包括以下内容：</w:t>
      </w:r>
    </w:p>
    <w:p w14:paraId="0FD27116">
      <w:pPr>
        <w:spacing w:beforeLines="25" w:afterLines="25"/>
        <w:ind w:firstLine="991" w:firstLineChars="472"/>
        <w:rPr>
          <w:rFonts w:ascii="宋体" w:hAnsi="宋体"/>
          <w:szCs w:val="21"/>
        </w:rPr>
      </w:pPr>
      <w:r>
        <w:rPr>
          <w:rFonts w:hint="eastAsia" w:ascii="宋体" w:hAnsi="宋体"/>
          <w:szCs w:val="21"/>
        </w:rPr>
        <w:t>（1）投标函</w:t>
      </w:r>
    </w:p>
    <w:p w14:paraId="30AEC3B4">
      <w:pPr>
        <w:spacing w:beforeLines="25" w:afterLines="25"/>
        <w:ind w:firstLine="991" w:firstLineChars="472"/>
        <w:rPr>
          <w:rFonts w:ascii="宋体" w:hAnsi="宋体"/>
          <w:szCs w:val="21"/>
        </w:rPr>
      </w:pPr>
      <w:r>
        <w:rPr>
          <w:rFonts w:hint="eastAsia" w:ascii="宋体" w:hAnsi="宋体"/>
          <w:szCs w:val="21"/>
        </w:rPr>
        <w:t>（2）资格响应文件</w:t>
      </w:r>
    </w:p>
    <w:p w14:paraId="1116B9B1">
      <w:pPr>
        <w:spacing w:beforeLines="25" w:afterLines="25"/>
        <w:ind w:firstLine="991" w:firstLineChars="472"/>
        <w:rPr>
          <w:rFonts w:ascii="宋体" w:hAnsi="宋体"/>
          <w:szCs w:val="21"/>
        </w:rPr>
      </w:pPr>
      <w:r>
        <w:rPr>
          <w:rFonts w:hint="eastAsia" w:ascii="宋体" w:hAnsi="宋体"/>
          <w:szCs w:val="21"/>
        </w:rPr>
        <w:t>（3）投标人情况介绍</w:t>
      </w:r>
    </w:p>
    <w:p w14:paraId="7935157C">
      <w:pPr>
        <w:spacing w:beforeLines="25" w:afterLines="25"/>
        <w:ind w:firstLine="991" w:firstLineChars="472"/>
        <w:rPr>
          <w:rFonts w:ascii="宋体" w:hAnsi="宋体"/>
          <w:szCs w:val="21"/>
        </w:rPr>
      </w:pPr>
      <w:r>
        <w:rPr>
          <w:rFonts w:hint="eastAsia" w:ascii="宋体" w:hAnsi="宋体"/>
          <w:szCs w:val="21"/>
        </w:rPr>
        <w:t>（4）中小企业声明函等符合政府采购扶持政策的证明材料</w:t>
      </w:r>
    </w:p>
    <w:p w14:paraId="4FD17E75">
      <w:pPr>
        <w:rPr>
          <w:rFonts w:ascii="宋体" w:hAnsi="宋体"/>
          <w:sz w:val="24"/>
          <w:szCs w:val="24"/>
        </w:rPr>
      </w:pPr>
    </w:p>
    <w:p w14:paraId="0B41693F">
      <w:pPr>
        <w:ind w:firstLine="424" w:firstLineChars="202"/>
        <w:rPr>
          <w:rFonts w:ascii="宋体" w:hAnsi="宋体"/>
          <w:szCs w:val="21"/>
        </w:rPr>
      </w:pPr>
    </w:p>
    <w:p w14:paraId="45BF629C">
      <w:pPr>
        <w:ind w:firstLine="424" w:firstLineChars="202"/>
        <w:rPr>
          <w:rFonts w:ascii="宋体" w:hAnsi="宋体"/>
          <w:szCs w:val="21"/>
        </w:rPr>
      </w:pPr>
      <w:r>
        <w:rPr>
          <w:rFonts w:hint="eastAsia" w:ascii="宋体" w:hAnsi="宋体"/>
          <w:szCs w:val="21"/>
        </w:rPr>
        <w:t>2.</w:t>
      </w:r>
      <w:r>
        <w:rPr>
          <w:rFonts w:hint="eastAsia" w:ascii="宋体" w:hAnsi="宋体"/>
          <w:b/>
          <w:szCs w:val="21"/>
        </w:rPr>
        <w:t>投标文件附件（信息不公开部分）</w:t>
      </w:r>
      <w:r>
        <w:rPr>
          <w:rFonts w:hint="eastAsia" w:ascii="宋体" w:hAnsi="宋体"/>
          <w:szCs w:val="21"/>
        </w:rPr>
        <w:t>，主要包括以下内容：</w:t>
      </w:r>
    </w:p>
    <w:p w14:paraId="43E93840">
      <w:pPr>
        <w:spacing w:beforeLines="25" w:afterLines="25"/>
        <w:ind w:firstLine="991" w:firstLineChars="472"/>
        <w:rPr>
          <w:rFonts w:ascii="宋体" w:hAnsi="宋体"/>
          <w:szCs w:val="21"/>
        </w:rPr>
      </w:pPr>
      <w:r>
        <w:rPr>
          <w:rFonts w:hint="eastAsia" w:ascii="宋体" w:hAnsi="宋体"/>
          <w:szCs w:val="21"/>
        </w:rPr>
        <w:t>（5）政府采购违法行为风险知悉确认书</w:t>
      </w:r>
    </w:p>
    <w:p w14:paraId="102712D3">
      <w:pPr>
        <w:spacing w:beforeLines="25" w:afterLines="25"/>
        <w:ind w:firstLine="991" w:firstLineChars="472"/>
        <w:rPr>
          <w:rFonts w:ascii="宋体" w:hAnsi="宋体"/>
          <w:szCs w:val="21"/>
        </w:rPr>
      </w:pPr>
      <w:r>
        <w:rPr>
          <w:rFonts w:hint="eastAsia" w:ascii="宋体" w:hAnsi="宋体"/>
          <w:szCs w:val="21"/>
        </w:rPr>
        <w:t>（6）法定代表人（负责人）资格证明书</w:t>
      </w:r>
    </w:p>
    <w:p w14:paraId="0E4EFEF2">
      <w:pPr>
        <w:spacing w:beforeLines="25" w:afterLines="25"/>
        <w:ind w:firstLine="991" w:firstLineChars="472"/>
        <w:rPr>
          <w:rFonts w:ascii="宋体" w:hAnsi="宋体"/>
          <w:szCs w:val="21"/>
        </w:rPr>
      </w:pPr>
      <w:r>
        <w:rPr>
          <w:rFonts w:hint="eastAsia" w:ascii="宋体" w:hAnsi="宋体"/>
          <w:szCs w:val="21"/>
        </w:rPr>
        <w:t>（7）投标文件签署授权委托书</w:t>
      </w:r>
    </w:p>
    <w:p w14:paraId="03E68888">
      <w:pPr>
        <w:spacing w:beforeLines="25" w:afterLines="25"/>
        <w:ind w:firstLine="991" w:firstLineChars="472"/>
        <w:rPr>
          <w:rFonts w:ascii="宋体" w:hAnsi="宋体"/>
          <w:szCs w:val="21"/>
        </w:rPr>
      </w:pPr>
      <w:r>
        <w:rPr>
          <w:rFonts w:hint="eastAsia" w:ascii="宋体" w:hAnsi="宋体"/>
          <w:szCs w:val="21"/>
        </w:rPr>
        <w:t>（8）实质性条款响应情况表</w:t>
      </w:r>
    </w:p>
    <w:p w14:paraId="54BA63FE">
      <w:pPr>
        <w:spacing w:beforeLines="25" w:afterLines="25"/>
        <w:ind w:firstLine="991" w:firstLineChars="472"/>
        <w:rPr>
          <w:rFonts w:ascii="宋体" w:hAnsi="宋体"/>
          <w:szCs w:val="21"/>
        </w:rPr>
      </w:pPr>
      <w:r>
        <w:rPr>
          <w:rFonts w:hint="eastAsia" w:ascii="宋体" w:hAnsi="宋体"/>
          <w:szCs w:val="21"/>
        </w:rPr>
        <w:t>（9）详细分项报价清单</w:t>
      </w:r>
    </w:p>
    <w:p w14:paraId="45F6EFE0">
      <w:pPr>
        <w:spacing w:beforeLines="25" w:afterLines="25"/>
        <w:ind w:firstLine="991" w:firstLineChars="472"/>
        <w:rPr>
          <w:rFonts w:ascii="宋体" w:hAnsi="宋体"/>
          <w:szCs w:val="21"/>
        </w:rPr>
      </w:pPr>
      <w:r>
        <w:rPr>
          <w:rFonts w:hint="eastAsia" w:ascii="宋体" w:hAnsi="宋体"/>
          <w:szCs w:val="21"/>
        </w:rPr>
        <w:t>（10）服务要求</w:t>
      </w:r>
      <w:r>
        <w:rPr>
          <w:rFonts w:ascii="宋体" w:hAnsi="宋体"/>
          <w:szCs w:val="21"/>
        </w:rPr>
        <w:t>偏离表</w:t>
      </w:r>
    </w:p>
    <w:p w14:paraId="43DC5094">
      <w:pPr>
        <w:spacing w:beforeLines="25" w:afterLines="25"/>
        <w:ind w:firstLine="991" w:firstLineChars="472"/>
        <w:rPr>
          <w:rFonts w:ascii="宋体" w:hAnsi="宋体"/>
          <w:szCs w:val="21"/>
        </w:rPr>
      </w:pPr>
      <w:r>
        <w:rPr>
          <w:rFonts w:hint="eastAsia" w:ascii="宋体" w:hAnsi="宋体"/>
          <w:szCs w:val="21"/>
        </w:rPr>
        <w:t>（11）</w:t>
      </w:r>
      <w:r>
        <w:rPr>
          <w:rFonts w:ascii="宋体" w:hAnsi="宋体"/>
          <w:szCs w:val="21"/>
        </w:rPr>
        <w:t>商务</w:t>
      </w:r>
      <w:r>
        <w:rPr>
          <w:rFonts w:hint="eastAsia" w:ascii="宋体" w:hAnsi="宋体"/>
          <w:szCs w:val="21"/>
        </w:rPr>
        <w:t>要求</w:t>
      </w:r>
      <w:r>
        <w:rPr>
          <w:rFonts w:ascii="宋体" w:hAnsi="宋体"/>
          <w:szCs w:val="21"/>
        </w:rPr>
        <w:t>偏离表</w:t>
      </w:r>
    </w:p>
    <w:p w14:paraId="3EAC7AD1">
      <w:pPr>
        <w:spacing w:beforeLines="25" w:afterLines="25"/>
        <w:ind w:firstLine="991" w:firstLineChars="472"/>
        <w:rPr>
          <w:rFonts w:hint="eastAsia" w:asciiTheme="minorEastAsia" w:hAnsiTheme="minorEastAsia" w:eastAsiaTheme="minorEastAsia"/>
          <w:szCs w:val="21"/>
        </w:rPr>
      </w:pPr>
      <w:r>
        <w:rPr>
          <w:rFonts w:hint="eastAsia" w:ascii="宋体" w:hAnsi="宋体"/>
          <w:szCs w:val="21"/>
        </w:rPr>
        <w:t>（12）</w:t>
      </w:r>
      <w:r>
        <w:rPr>
          <w:rFonts w:hint="eastAsia" w:asciiTheme="minorEastAsia" w:hAnsiTheme="minorEastAsia" w:eastAsiaTheme="minorEastAsia"/>
          <w:szCs w:val="21"/>
        </w:rPr>
        <w:t>实施方案</w:t>
      </w:r>
    </w:p>
    <w:p w14:paraId="4DD7C0AB">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项目重点难点分析、应对措施及相关的合理化建议</w:t>
      </w:r>
    </w:p>
    <w:p w14:paraId="1BF96F3E">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质量保障措施及方案</w:t>
      </w:r>
    </w:p>
    <w:p w14:paraId="46CD7911">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现场演示</w:t>
      </w:r>
    </w:p>
    <w:p w14:paraId="4F7866E8">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项目完成（服务期满）后的服务承诺</w:t>
      </w:r>
    </w:p>
    <w:p w14:paraId="035EB544">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违约承诺</w:t>
      </w:r>
    </w:p>
    <w:p w14:paraId="1DF9E7F9">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拟安排的项目负责人(仅限1人）情况</w:t>
      </w:r>
    </w:p>
    <w:p w14:paraId="714631BE">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19</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拟安排的项目主要团队成员（主要技术人员）情况（项目负责人除外）</w:t>
      </w:r>
    </w:p>
    <w:p w14:paraId="74CC1964">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投标人体系认证情况</w:t>
      </w:r>
    </w:p>
    <w:p w14:paraId="14E695B0">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同类项目业绩情况</w:t>
      </w:r>
    </w:p>
    <w:p w14:paraId="47EED4AB">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获奖（荣誉）情况</w:t>
      </w:r>
    </w:p>
    <w:p w14:paraId="3A271A91">
      <w:pPr>
        <w:spacing w:beforeLines="25" w:afterLines="25"/>
        <w:ind w:firstLine="991" w:firstLineChars="472"/>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23</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投标人自主知识产权产品（创新、设计）情况</w:t>
      </w:r>
    </w:p>
    <w:p w14:paraId="1741E937">
      <w:pPr>
        <w:spacing w:beforeLines="25" w:afterLines="25"/>
        <w:ind w:firstLine="991" w:firstLineChars="472"/>
        <w:rPr>
          <w:rFonts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24</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诚信评审</w:t>
      </w:r>
    </w:p>
    <w:p w14:paraId="67AEE608">
      <w:pPr>
        <w:spacing w:beforeLines="25" w:afterLines="25"/>
        <w:ind w:firstLine="991" w:firstLineChars="472"/>
        <w:rPr>
          <w:rFonts w:ascii="宋体" w:hAnsi="宋体"/>
          <w:szCs w:val="21"/>
        </w:rPr>
      </w:pPr>
      <w:r>
        <w:rPr>
          <w:rFonts w:hint="eastAsia" w:ascii="宋体" w:hAnsi="宋体"/>
          <w:szCs w:val="21"/>
        </w:rPr>
        <w:t>（</w:t>
      </w:r>
      <w:r>
        <w:rPr>
          <w:rFonts w:hint="eastAsia" w:ascii="宋体" w:hAnsi="宋体"/>
          <w:szCs w:val="21"/>
          <w:lang w:val="en-US" w:eastAsia="zh-CN"/>
        </w:rPr>
        <w:t>25</w:t>
      </w:r>
      <w:r>
        <w:rPr>
          <w:rFonts w:hint="eastAsia" w:ascii="宋体" w:hAnsi="宋体"/>
          <w:szCs w:val="21"/>
        </w:rPr>
        <w:t>）招标文件要求的其它内容或投标人认为需要补充的资料</w:t>
      </w:r>
    </w:p>
    <w:p w14:paraId="3F4D7487">
      <w:pPr>
        <w:spacing w:beforeLines="25" w:afterLines="25"/>
        <w:rPr>
          <w:rFonts w:ascii="宋体" w:hAnsi="宋体"/>
          <w:szCs w:val="21"/>
        </w:rPr>
      </w:pPr>
    </w:p>
    <w:p w14:paraId="1A2F37B6">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备注：</w:t>
      </w:r>
    </w:p>
    <w:p w14:paraId="37B3C815">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1.本项目为网上电子投标项目，投标文件不需法人或授权委托人另行签字，无需加盖单位公章，招标文件专用条款另有规定的除外。</w:t>
      </w:r>
    </w:p>
    <w:p w14:paraId="67D01F29">
      <w:pPr>
        <w:widowControl/>
        <w:ind w:firstLine="487" w:firstLineChars="202"/>
        <w:jc w:val="left"/>
        <w:rPr>
          <w:rFonts w:ascii="宋体" w:hAnsi="宋体" w:eastAsiaTheme="minorEastAsia"/>
          <w:b/>
          <w:kern w:val="0"/>
          <w:sz w:val="24"/>
          <w:szCs w:val="21"/>
        </w:rPr>
      </w:pPr>
      <w:r>
        <w:rPr>
          <w:rFonts w:hint="eastAsia" w:ascii="宋体" w:hAnsi="宋体" w:eastAsiaTheme="minorEastAsia"/>
          <w:b/>
          <w:kern w:val="0"/>
          <w:sz w:val="24"/>
          <w:szCs w:val="21"/>
        </w:rPr>
        <w:t>2.关于填写“开标一览表”的说明：“开标一览表”中除“投标报价”外，其他信息不作为评审依据。</w:t>
      </w:r>
    </w:p>
    <w:p w14:paraId="2910E1B1">
      <w:pPr>
        <w:widowControl/>
        <w:jc w:val="left"/>
        <w:rPr>
          <w:rFonts w:ascii="宋体" w:hAnsi="宋体"/>
          <w:szCs w:val="21"/>
        </w:rPr>
      </w:pPr>
      <w:r>
        <w:rPr>
          <w:rFonts w:ascii="宋体" w:hAnsi="宋体"/>
          <w:szCs w:val="21"/>
        </w:rPr>
        <w:br w:type="page"/>
      </w:r>
    </w:p>
    <w:p w14:paraId="5DB6F7A1">
      <w:pPr>
        <w:keepNext w:val="0"/>
        <w:keepLines w:val="0"/>
        <w:pageBreakBefore w:val="0"/>
        <w:widowControl w:val="0"/>
        <w:kinsoku/>
        <w:wordWrap/>
        <w:overflowPunct/>
        <w:topLinePunct w:val="0"/>
        <w:autoSpaceDE/>
        <w:autoSpaceDN/>
        <w:bidi w:val="0"/>
        <w:textAlignment w:val="auto"/>
        <w:rPr>
          <w:rFonts w:ascii="仿宋_GB2312" w:hAnsi="Times New Roman" w:eastAsia="仿宋_GB2312"/>
          <w:b/>
          <w:color w:val="FF0000"/>
          <w:sz w:val="30"/>
          <w:szCs w:val="30"/>
        </w:rPr>
      </w:pPr>
      <w:r>
        <w:rPr>
          <w:rFonts w:hint="eastAsia" w:ascii="仿宋_GB2312" w:hAnsi="Times New Roman" w:eastAsia="仿宋_GB2312"/>
          <w:b/>
          <w:color w:val="FF0000"/>
          <w:sz w:val="30"/>
          <w:szCs w:val="30"/>
        </w:rPr>
        <w:t>投标文件正文（信息公开部分）：</w:t>
      </w:r>
    </w:p>
    <w:p w14:paraId="2046BB6F">
      <w:pPr>
        <w:pStyle w:val="4"/>
        <w:keepNext w:val="0"/>
        <w:keepLines w:val="0"/>
        <w:pageBreakBefore w:val="0"/>
        <w:widowControl w:val="0"/>
        <w:kinsoku/>
        <w:wordWrap/>
        <w:overflowPunct/>
        <w:topLinePunct w:val="0"/>
        <w:autoSpaceDE/>
        <w:autoSpaceDN/>
        <w:bidi w:val="0"/>
        <w:jc w:val="center"/>
        <w:textAlignment w:val="auto"/>
        <w:rPr>
          <w:rFonts w:ascii="黑体" w:eastAsia="黑体"/>
          <w:b w:val="0"/>
          <w:sz w:val="24"/>
        </w:rPr>
      </w:pPr>
      <w:r>
        <w:rPr>
          <w:rFonts w:hint="eastAsia" w:ascii="黑体" w:eastAsia="黑体"/>
          <w:b w:val="0"/>
          <w:sz w:val="24"/>
        </w:rPr>
        <w:t>一、投标函</w:t>
      </w:r>
    </w:p>
    <w:p w14:paraId="43B4EC3D">
      <w:pPr>
        <w:keepNext w:val="0"/>
        <w:keepLines w:val="0"/>
        <w:pageBreakBefore w:val="0"/>
        <w:widowControl w:val="0"/>
        <w:kinsoku/>
        <w:wordWrap/>
        <w:overflowPunct/>
        <w:topLinePunct w:val="0"/>
        <w:autoSpaceDE/>
        <w:autoSpaceDN/>
        <w:bidi w:val="0"/>
        <w:spacing w:line="360" w:lineRule="auto"/>
        <w:textAlignment w:val="auto"/>
        <w:rPr>
          <w:rFonts w:ascii="宋体" w:hAnsi="宋体"/>
          <w:szCs w:val="21"/>
        </w:rPr>
      </w:pPr>
      <w:r>
        <w:rPr>
          <w:rFonts w:hint="eastAsia" w:ascii="宋体" w:hAnsi="宋体"/>
          <w:szCs w:val="21"/>
        </w:rPr>
        <w:t xml:space="preserve">深圳市中正招标有限公司：  </w:t>
      </w:r>
    </w:p>
    <w:p w14:paraId="3845FF17">
      <w:pPr>
        <w:keepNext w:val="0"/>
        <w:keepLines w:val="0"/>
        <w:pageBreakBefore w:val="0"/>
        <w:widowControl w:val="0"/>
        <w:kinsoku/>
        <w:wordWrap/>
        <w:overflowPunct/>
        <w:topLinePunct w:val="0"/>
        <w:autoSpaceDE/>
        <w:autoSpaceDN/>
        <w:bidi w:val="0"/>
        <w:spacing w:afterLines="50"/>
        <w:ind w:firstLine="420" w:firstLineChars="200"/>
        <w:textAlignment w:val="auto"/>
        <w:rPr>
          <w:szCs w:val="21"/>
        </w:rPr>
      </w:pPr>
      <w:r>
        <w:rPr>
          <w:rFonts w:hint="eastAsia"/>
          <w:szCs w:val="21"/>
        </w:rPr>
        <w:t>1.根据已收到贵方的（项目编号为</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方经研究上述招标文件的专用条款及通用条款后，愿以投标书编制软件中《开标一览表》中填写的投标报价并按招标文件要求承包上述项目并修补其任何缺陷。</w:t>
      </w:r>
    </w:p>
    <w:p w14:paraId="5ED141A8">
      <w:pPr>
        <w:keepNext w:val="0"/>
        <w:keepLines w:val="0"/>
        <w:pageBreakBefore w:val="0"/>
        <w:widowControl w:val="0"/>
        <w:kinsoku/>
        <w:wordWrap/>
        <w:overflowPunct/>
        <w:topLinePunct w:val="0"/>
        <w:autoSpaceDE/>
        <w:autoSpaceDN/>
        <w:bidi w:val="0"/>
        <w:spacing w:afterLines="50"/>
        <w:ind w:firstLine="420" w:firstLineChars="200"/>
        <w:textAlignment w:val="auto"/>
        <w:rPr>
          <w:szCs w:val="21"/>
        </w:rPr>
      </w:pPr>
      <w:r>
        <w:rPr>
          <w:szCs w:val="21"/>
        </w:rPr>
        <w:t>2</w:t>
      </w:r>
      <w:r>
        <w:rPr>
          <w:rFonts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14:paraId="6562E10A">
      <w:pPr>
        <w:keepNext w:val="0"/>
        <w:keepLines w:val="0"/>
        <w:pageBreakBefore w:val="0"/>
        <w:widowControl w:val="0"/>
        <w:kinsoku/>
        <w:wordWrap/>
        <w:overflowPunct/>
        <w:topLinePunct w:val="0"/>
        <w:autoSpaceDE/>
        <w:autoSpaceDN/>
        <w:bidi w:val="0"/>
        <w:spacing w:afterLines="50"/>
        <w:ind w:firstLine="411" w:firstLineChars="196"/>
        <w:textAlignment w:val="auto"/>
        <w:rPr>
          <w:rFonts w:ascii="宋体" w:hAnsi="宋体"/>
          <w:szCs w:val="21"/>
        </w:rPr>
      </w:pPr>
      <w:r>
        <w:rPr>
          <w:rFonts w:hint="eastAsia" w:ascii="宋体" w:hAnsi="宋体"/>
          <w:szCs w:val="21"/>
        </w:rPr>
        <w:t>3.我方同意所递交的投标文件在“对通用条款的补充内容”中的投标有效期内有效，在此期间内我方的投标有可能中标，我方将受此约束。</w:t>
      </w:r>
    </w:p>
    <w:p w14:paraId="3C8A6ECF">
      <w:pPr>
        <w:keepNext w:val="0"/>
        <w:keepLines w:val="0"/>
        <w:pageBreakBefore w:val="0"/>
        <w:widowControl w:val="0"/>
        <w:kinsoku/>
        <w:wordWrap/>
        <w:overflowPunct/>
        <w:topLinePunct w:val="0"/>
        <w:autoSpaceDE/>
        <w:autoSpaceDN/>
        <w:bidi w:val="0"/>
        <w:spacing w:afterLines="50"/>
        <w:ind w:firstLine="411" w:firstLineChars="196"/>
        <w:textAlignment w:val="auto"/>
        <w:rPr>
          <w:rFonts w:ascii="宋体" w:hAnsi="宋体"/>
          <w:szCs w:val="21"/>
        </w:rPr>
      </w:pPr>
      <w:r>
        <w:rPr>
          <w:rFonts w:hint="eastAsia" w:ascii="宋体" w:hAnsi="宋体"/>
          <w:szCs w:val="21"/>
        </w:rPr>
        <w:t>4.除非另外达成协议并生效，贵方的中标通知书和本投标文件将构成约束我们双方的合同。</w:t>
      </w:r>
    </w:p>
    <w:p w14:paraId="562B8B4F">
      <w:pPr>
        <w:keepNext w:val="0"/>
        <w:keepLines w:val="0"/>
        <w:pageBreakBefore w:val="0"/>
        <w:widowControl w:val="0"/>
        <w:kinsoku/>
        <w:wordWrap/>
        <w:overflowPunct/>
        <w:topLinePunct w:val="0"/>
        <w:autoSpaceDE/>
        <w:autoSpaceDN/>
        <w:bidi w:val="0"/>
        <w:spacing w:afterLines="50"/>
        <w:ind w:firstLine="411" w:firstLineChars="196"/>
        <w:textAlignment w:val="auto"/>
        <w:rPr>
          <w:rFonts w:ascii="宋体" w:hAnsi="宋体"/>
          <w:szCs w:val="21"/>
        </w:rPr>
      </w:pPr>
      <w:r>
        <w:rPr>
          <w:rFonts w:hint="eastAsia" w:ascii="宋体" w:hAnsi="宋体"/>
          <w:szCs w:val="21"/>
        </w:rPr>
        <w:t>5.我方理解贵方将不受必须接受你们所收到的最低标价或其它任何投标文件的约束。</w:t>
      </w:r>
    </w:p>
    <w:p w14:paraId="3E410A47">
      <w:pPr>
        <w:keepNext w:val="0"/>
        <w:keepLines w:val="0"/>
        <w:pageBreakBefore w:val="0"/>
        <w:widowControl w:val="0"/>
        <w:kinsoku/>
        <w:wordWrap/>
        <w:overflowPunct/>
        <w:topLinePunct w:val="0"/>
        <w:autoSpaceDE/>
        <w:autoSpaceDN/>
        <w:bidi w:val="0"/>
        <w:spacing w:afterLines="50"/>
        <w:ind w:firstLine="411" w:firstLineChars="196"/>
        <w:textAlignment w:val="auto"/>
        <w:rPr>
          <w:rFonts w:ascii="宋体" w:hAnsi="宋体"/>
          <w:szCs w:val="21"/>
        </w:rPr>
      </w:pPr>
      <w:r>
        <w:rPr>
          <w:rFonts w:hint="eastAsia" w:ascii="宋体" w:hAnsi="宋体"/>
          <w:szCs w:val="21"/>
        </w:rPr>
        <w:t>6.</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0DC4582">
      <w:pPr>
        <w:keepNext w:val="0"/>
        <w:keepLines w:val="0"/>
        <w:pageBreakBefore w:val="0"/>
        <w:widowControl w:val="0"/>
        <w:kinsoku/>
        <w:wordWrap/>
        <w:overflowPunct/>
        <w:topLinePunct w:val="0"/>
        <w:autoSpaceDE/>
        <w:autoSpaceDN/>
        <w:bidi w:val="0"/>
        <w:ind w:left="540" w:leftChars="257"/>
        <w:textAlignment w:val="auto"/>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29077FF">
      <w:pPr>
        <w:keepNext w:val="0"/>
        <w:keepLines w:val="0"/>
        <w:pageBreakBefore w:val="0"/>
        <w:widowControl w:val="0"/>
        <w:kinsoku/>
        <w:wordWrap/>
        <w:overflowPunct/>
        <w:topLinePunct w:val="0"/>
        <w:autoSpaceDE/>
        <w:autoSpaceDN/>
        <w:bidi w:val="0"/>
        <w:ind w:left="540" w:leftChars="257"/>
        <w:textAlignment w:val="auto"/>
        <w:rPr>
          <w:szCs w:val="21"/>
          <w:u w:val="single"/>
        </w:rPr>
      </w:pPr>
      <w:r>
        <w:rPr>
          <w:rFonts w:hint="eastAsia"/>
          <w:szCs w:val="21"/>
        </w:rPr>
        <w:t>法定代表人或其委托代理人：</w:t>
      </w:r>
      <w:r>
        <w:rPr>
          <w:rFonts w:hint="eastAsia"/>
          <w:szCs w:val="21"/>
          <w:u w:val="single"/>
        </w:rPr>
        <w:t xml:space="preserve">                   </w:t>
      </w:r>
    </w:p>
    <w:p w14:paraId="4D8815CC">
      <w:pPr>
        <w:keepNext w:val="0"/>
        <w:keepLines w:val="0"/>
        <w:pageBreakBefore w:val="0"/>
        <w:widowControl w:val="0"/>
        <w:kinsoku/>
        <w:wordWrap/>
        <w:overflowPunct/>
        <w:topLinePunct w:val="0"/>
        <w:autoSpaceDE/>
        <w:autoSpaceDN/>
        <w:bidi w:val="0"/>
        <w:ind w:left="540" w:leftChars="257"/>
        <w:textAlignment w:val="auto"/>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656A4EC6">
      <w:pPr>
        <w:keepNext w:val="0"/>
        <w:keepLines w:val="0"/>
        <w:pageBreakBefore w:val="0"/>
        <w:widowControl w:val="0"/>
        <w:kinsoku/>
        <w:wordWrap/>
        <w:overflowPunct/>
        <w:topLinePunct w:val="0"/>
        <w:autoSpaceDE/>
        <w:autoSpaceDN/>
        <w:bidi w:val="0"/>
        <w:ind w:left="540" w:leftChars="257"/>
        <w:textAlignment w:val="auto"/>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开户银行帐号：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F194206">
      <w:pPr>
        <w:keepNext w:val="0"/>
        <w:keepLines w:val="0"/>
        <w:pageBreakBefore w:val="0"/>
        <w:widowControl w:val="0"/>
        <w:kinsoku/>
        <w:wordWrap/>
        <w:overflowPunct/>
        <w:topLinePunct w:val="0"/>
        <w:autoSpaceDE/>
        <w:autoSpaceDN/>
        <w:bidi w:val="0"/>
        <w:ind w:left="540" w:leftChars="257"/>
        <w:textAlignment w:val="auto"/>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62BCD21">
      <w:pPr>
        <w:keepNext w:val="0"/>
        <w:keepLines w:val="0"/>
        <w:pageBreakBefore w:val="0"/>
        <w:widowControl w:val="0"/>
        <w:kinsoku/>
        <w:wordWrap/>
        <w:overflowPunct/>
        <w:topLinePunct w:val="0"/>
        <w:autoSpaceDE/>
        <w:autoSpaceDN/>
        <w:bidi w:val="0"/>
        <w:ind w:firstLine="539" w:firstLineChars="257"/>
        <w:textAlignment w:val="auto"/>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26402D93">
      <w:pPr>
        <w:keepNext w:val="0"/>
        <w:keepLines w:val="0"/>
        <w:pageBreakBefore w:val="0"/>
        <w:widowControl w:val="0"/>
        <w:kinsoku/>
        <w:wordWrap/>
        <w:overflowPunct/>
        <w:topLinePunct w:val="0"/>
        <w:autoSpaceDE/>
        <w:autoSpaceDN/>
        <w:bidi w:val="0"/>
        <w:ind w:firstLine="616" w:firstLineChars="257"/>
        <w:textAlignment w:val="auto"/>
        <w:rPr>
          <w:sz w:val="24"/>
        </w:rPr>
      </w:pPr>
    </w:p>
    <w:p w14:paraId="34E972C0">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szCs w:val="21"/>
          <w:u w:val="single"/>
        </w:rPr>
        <w:t>（备注：如联合体投标，投标人一栏仅需填写牵头人的名称）</w:t>
      </w:r>
    </w:p>
    <w:p w14:paraId="299A281E">
      <w:pPr>
        <w:keepNext w:val="0"/>
        <w:keepLines w:val="0"/>
        <w:pageBreakBefore w:val="0"/>
        <w:widowControl w:val="0"/>
        <w:kinsoku/>
        <w:wordWrap/>
        <w:overflowPunct/>
        <w:topLinePunct w:val="0"/>
        <w:autoSpaceDE/>
        <w:autoSpaceDN/>
        <w:bidi w:val="0"/>
        <w:ind w:firstLine="616" w:firstLineChars="257"/>
        <w:textAlignment w:val="auto"/>
        <w:rPr>
          <w:sz w:val="24"/>
        </w:rPr>
      </w:pPr>
      <w:r>
        <w:rPr>
          <w:rFonts w:hint="eastAsia"/>
          <w:sz w:val="24"/>
        </w:rPr>
        <w:t xml:space="preserve">                          </w:t>
      </w:r>
    </w:p>
    <w:p w14:paraId="09C5103E">
      <w:pPr>
        <w:pStyle w:val="4"/>
        <w:keepNext w:val="0"/>
        <w:keepLines w:val="0"/>
        <w:pageBreakBefore w:val="0"/>
        <w:widowControl w:val="0"/>
        <w:kinsoku/>
        <w:wordWrap/>
        <w:overflowPunct/>
        <w:topLinePunct w:val="0"/>
        <w:autoSpaceDE/>
        <w:autoSpaceDN/>
        <w:bidi w:val="0"/>
        <w:jc w:val="center"/>
        <w:textAlignment w:val="auto"/>
        <w:rPr>
          <w:rFonts w:ascii="黑体" w:eastAsia="黑体"/>
          <w:b w:val="0"/>
          <w:sz w:val="24"/>
        </w:rPr>
      </w:pPr>
      <w:r>
        <w:rPr>
          <w:rFonts w:hint="eastAsia" w:ascii="黑体" w:eastAsia="黑体"/>
          <w:b w:val="0"/>
          <w:sz w:val="24"/>
        </w:rPr>
        <w:t>二、资格响应文件</w:t>
      </w:r>
    </w:p>
    <w:p w14:paraId="77D1884A">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202"/>
        <w:textAlignment w:val="auto"/>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ascii="Times New Roman" w:hAnsi="宋体"/>
          <w:szCs w:val="21"/>
        </w:rPr>
        <w:t>等证明材料</w:t>
      </w:r>
      <w:r>
        <w:rPr>
          <w:rFonts w:hint="eastAsia" w:ascii="宋体" w:hAnsi="宋体"/>
          <w:bCs/>
          <w:snapToGrid w:val="0"/>
          <w:kern w:val="0"/>
          <w:szCs w:val="21"/>
        </w:rPr>
        <w:t>（扫描件）</w:t>
      </w:r>
    </w:p>
    <w:p w14:paraId="3682A00F">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202"/>
        <w:textAlignment w:val="auto"/>
        <w:rPr>
          <w:rFonts w:ascii="宋体" w:hAnsi="宋体"/>
          <w:szCs w:val="24"/>
        </w:rPr>
      </w:pPr>
      <w:r>
        <w:rPr>
          <w:rFonts w:hint="eastAsia" w:ascii="宋体" w:hAnsi="宋体"/>
          <w:bCs/>
          <w:snapToGrid w:val="0"/>
          <w:kern w:val="0"/>
          <w:szCs w:val="21"/>
        </w:rPr>
        <w:t>2、</w:t>
      </w:r>
      <w:r>
        <w:rPr>
          <w:rFonts w:hint="eastAsia" w:ascii="Times New Roman" w:hAnsi="Times New Roman"/>
          <w:szCs w:val="21"/>
        </w:rPr>
        <w:t>政府采购投标及履约承诺函</w:t>
      </w:r>
    </w:p>
    <w:p w14:paraId="4BF55C75">
      <w:pPr>
        <w:keepNext w:val="0"/>
        <w:keepLines w:val="0"/>
        <w:pageBreakBefore w:val="0"/>
        <w:widowControl w:val="0"/>
        <w:kinsoku/>
        <w:wordWrap/>
        <w:overflowPunct/>
        <w:topLinePunct w:val="0"/>
        <w:autoSpaceDE/>
        <w:autoSpaceDN/>
        <w:bidi w:val="0"/>
        <w:adjustRightInd w:val="0"/>
        <w:snapToGrid w:val="0"/>
        <w:spacing w:line="360" w:lineRule="auto"/>
        <w:ind w:firstLine="424" w:firstLineChars="202"/>
        <w:textAlignment w:val="auto"/>
        <w:rPr>
          <w:rFonts w:ascii="宋体" w:hAnsi="宋体"/>
          <w:szCs w:val="24"/>
        </w:rPr>
      </w:pPr>
      <w:r>
        <w:rPr>
          <w:rFonts w:hint="eastAsia" w:ascii="宋体" w:hAnsi="宋体"/>
          <w:szCs w:val="24"/>
        </w:rPr>
        <w:t>3、其它资格证明材料（如有，按招标公告“申请人的资格要求”提供）</w:t>
      </w:r>
    </w:p>
    <w:p w14:paraId="3BF78E79">
      <w:pPr>
        <w:keepNext w:val="0"/>
        <w:keepLines w:val="0"/>
        <w:pageBreakBefore w:val="0"/>
        <w:widowControl w:val="0"/>
        <w:kinsoku/>
        <w:wordWrap/>
        <w:overflowPunct/>
        <w:topLinePunct w:val="0"/>
        <w:autoSpaceDE/>
        <w:autoSpaceDN/>
        <w:bidi w:val="0"/>
        <w:textAlignment w:val="auto"/>
        <w:rPr>
          <w:szCs w:val="21"/>
          <w:u w:val="single"/>
        </w:rPr>
      </w:pPr>
    </w:p>
    <w:p w14:paraId="555AF857">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szCs w:val="21"/>
          <w:u w:val="single"/>
        </w:rPr>
        <w:t>（备注：如联合体投标，联合体各方均应按要求提供资格响应文件）</w:t>
      </w:r>
    </w:p>
    <w:p w14:paraId="45D8CCA3">
      <w:pPr>
        <w:pStyle w:val="4"/>
        <w:keepNext w:val="0"/>
        <w:keepLines w:val="0"/>
        <w:pageBreakBefore w:val="0"/>
        <w:widowControl w:val="0"/>
        <w:kinsoku/>
        <w:wordWrap/>
        <w:overflowPunct/>
        <w:topLinePunct w:val="0"/>
        <w:autoSpaceDE/>
        <w:autoSpaceDN/>
        <w:bidi w:val="0"/>
        <w:jc w:val="center"/>
        <w:textAlignment w:val="auto"/>
        <w:rPr>
          <w:rFonts w:ascii="黑体" w:eastAsia="黑体"/>
          <w:b w:val="0"/>
          <w:sz w:val="24"/>
        </w:rPr>
      </w:pPr>
    </w:p>
    <w:p w14:paraId="130CC16D">
      <w:pPr>
        <w:pStyle w:val="4"/>
        <w:keepNext w:val="0"/>
        <w:keepLines w:val="0"/>
        <w:pageBreakBefore w:val="0"/>
        <w:widowControl w:val="0"/>
        <w:kinsoku/>
        <w:wordWrap/>
        <w:overflowPunct/>
        <w:topLinePunct w:val="0"/>
        <w:autoSpaceDE/>
        <w:autoSpaceDN/>
        <w:bidi w:val="0"/>
        <w:jc w:val="center"/>
        <w:textAlignment w:val="auto"/>
        <w:rPr>
          <w:rFonts w:ascii="黑体" w:eastAsia="黑体"/>
          <w:b w:val="0"/>
          <w:sz w:val="24"/>
        </w:rPr>
      </w:pPr>
      <w:r>
        <w:rPr>
          <w:rFonts w:hint="eastAsia" w:ascii="黑体" w:eastAsia="黑体"/>
          <w:b w:val="0"/>
          <w:sz w:val="24"/>
        </w:rPr>
        <w:t>政府采购投标及履约承诺函</w:t>
      </w:r>
    </w:p>
    <w:p w14:paraId="1969B0FE">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ascii="宋体" w:hAnsi="宋体"/>
          <w:szCs w:val="21"/>
        </w:rPr>
        <w:t>深圳市中正招标有限公司：</w:t>
      </w:r>
    </w:p>
    <w:p w14:paraId="4F1B9F86">
      <w:pPr>
        <w:keepNext w:val="0"/>
        <w:keepLines w:val="0"/>
        <w:pageBreakBefore w:val="0"/>
        <w:widowControl w:val="0"/>
        <w:kinsoku/>
        <w:wordWrap/>
        <w:overflowPunct/>
        <w:topLinePunct w:val="0"/>
        <w:autoSpaceDE/>
        <w:autoSpaceDN/>
        <w:bidi w:val="0"/>
        <w:ind w:right="-815" w:firstLine="420" w:firstLineChars="200"/>
        <w:textAlignment w:val="auto"/>
        <w:rPr>
          <w:rFonts w:ascii="宋体" w:hAnsi="宋体"/>
          <w:szCs w:val="21"/>
        </w:rPr>
      </w:pPr>
      <w:r>
        <w:rPr>
          <w:rFonts w:hint="eastAsia" w:ascii="宋体" w:hAnsi="宋体"/>
          <w:szCs w:val="21"/>
        </w:rPr>
        <w:t>我单位承诺：</w:t>
      </w:r>
    </w:p>
    <w:p w14:paraId="5CCABA37">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1.我单位满足《中华人民共和国政府采购法》第二十二条规定的下列条件：</w:t>
      </w:r>
    </w:p>
    <w:p w14:paraId="408A5231">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（一）具有独立承担民事责任的能力；</w:t>
      </w:r>
    </w:p>
    <w:p w14:paraId="7D8CD6E5">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（二）具有良好的商业信誉和健全的财务会计制度；</w:t>
      </w:r>
    </w:p>
    <w:p w14:paraId="4F81C04F">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（三）具有履行合同所必需的设备和专业技术能力；</w:t>
      </w:r>
    </w:p>
    <w:p w14:paraId="2AC3D777">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（四）有依法缴纳税收和社会保障资金的良好记录；</w:t>
      </w:r>
    </w:p>
    <w:p w14:paraId="530B2CAD">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（五）参加政府采购活动前三年内，在经营活动中没有重大违法记录；</w:t>
      </w:r>
    </w:p>
    <w:p w14:paraId="536227FB">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（六）法律、行政法规规定的其他条件。</w:t>
      </w:r>
    </w:p>
    <w:p w14:paraId="2CD2304C">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2.我单位参与本项目采购活动前三年内，在经营活动中没有重大违法记录，包括因违法经营受到刑事处罚或者责令停产停业、吊销许可证或者执照、较大数额罚款等行政处罚。</w:t>
      </w:r>
    </w:p>
    <w:p w14:paraId="0C72AE87">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3.我单位参与本项目政府采购活动时不存在被有关部门禁止参与政府采购活动且在有效期内的情况；与其他投标供应商不存在“单位负责人为同一人或者存在直接控股、管理关系”的情况；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ascii="宋体" w:hAnsi="宋体"/>
          <w:szCs w:val="21"/>
        </w:rPr>
        <w:t>。</w:t>
      </w:r>
    </w:p>
    <w:p w14:paraId="17E65F1E">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4.我单位承诺非联合体投标，不非法转包或分包，为本项目所提供的货物或服务未侵犯知识产权。</w:t>
      </w:r>
    </w:p>
    <w:p w14:paraId="06126ADC">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5.我单位承诺不存在《深圳市财政局政府采购供应商信用信息管理办法》（深财规〔2023〕3号）列明的严重违法失信行为。</w:t>
      </w:r>
    </w:p>
    <w:p w14:paraId="7ED9D5B1">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6.我单位参与该项目投标，严格遵循公平竞争的原则，不妨碍其他投标人的竞争行为，不损害采购人或者其他投标人的合法权益，与其他采购参加人不存在下列串通投标情形：</w:t>
      </w:r>
    </w:p>
    <w:p w14:paraId="619DFACC">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（1）投标供应商之间相互约定给予未中标的供应商利益补偿；</w:t>
      </w:r>
    </w:p>
    <w:p w14:paraId="5786C11C">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45A70485">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（3）不同投标供应商的投标文件由同一单位或者同一人编制，或者由同一人分阶段参与编制的；</w:t>
      </w:r>
    </w:p>
    <w:p w14:paraId="3819C5A6">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（4）不同投标供应商的投标文件或部分投标文件相互混装；</w:t>
      </w:r>
    </w:p>
    <w:p w14:paraId="0AE9816F">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（5）不同投标供应商的投标文件内容存在非正常一致；</w:t>
      </w:r>
    </w:p>
    <w:p w14:paraId="63115EDB">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（6）由同一单位工作人员为两家以上（含两家）供应商进行同一项投标活动的；</w:t>
      </w:r>
    </w:p>
    <w:p w14:paraId="28FF3C24">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（7）主管部门依照法律、法规认定的其他情形。</w:t>
      </w:r>
    </w:p>
    <w:p w14:paraId="44B7727F">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1CC992F4">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412388">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899F1E8">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3589829C">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r>
        <w:rPr>
          <w:rFonts w:hint="eastAsia" w:ascii="宋体" w:hAnsi="宋体"/>
          <w:szCs w:val="21"/>
        </w:rPr>
        <w:t>以上承诺，如有违反，愿依照相关法律法规处理，并承担由此给采购人带来的损失。</w:t>
      </w:r>
    </w:p>
    <w:p w14:paraId="5AC91396">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p>
    <w:p w14:paraId="57E28D84">
      <w:pPr>
        <w:keepNext w:val="0"/>
        <w:keepLines w:val="0"/>
        <w:pageBreakBefore w:val="0"/>
        <w:widowControl w:val="0"/>
        <w:kinsoku/>
        <w:wordWrap/>
        <w:overflowPunct/>
        <w:topLinePunct w:val="0"/>
        <w:autoSpaceDE/>
        <w:autoSpaceDN/>
        <w:bidi w:val="0"/>
        <w:jc w:val="center"/>
        <w:textAlignment w:val="auto"/>
      </w:pPr>
      <w:r>
        <w:rPr>
          <w:rFonts w:hint="eastAsia"/>
          <w:szCs w:val="21"/>
        </w:rPr>
        <w:t xml:space="preserve">                             投标人：</w:t>
      </w:r>
    </w:p>
    <w:p w14:paraId="74CDBB49">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04169A2C">
      <w:pPr>
        <w:keepNext w:val="0"/>
        <w:keepLines w:val="0"/>
        <w:pageBreakBefore w:val="0"/>
        <w:widowControl w:val="0"/>
        <w:kinsoku/>
        <w:wordWrap/>
        <w:overflowPunct/>
        <w:topLinePunct w:val="0"/>
        <w:autoSpaceDE/>
        <w:autoSpaceDN/>
        <w:bidi w:val="0"/>
        <w:ind w:firstLine="424" w:firstLineChars="202"/>
        <w:textAlignment w:val="auto"/>
        <w:rPr>
          <w:rFonts w:ascii="宋体" w:hAnsi="宋体"/>
          <w:szCs w:val="21"/>
        </w:rPr>
      </w:pPr>
    </w:p>
    <w:p w14:paraId="4F92FF2A">
      <w:pPr>
        <w:keepNext w:val="0"/>
        <w:keepLines w:val="0"/>
        <w:pageBreakBefore w:val="0"/>
        <w:widowControl w:val="0"/>
        <w:kinsoku/>
        <w:wordWrap/>
        <w:overflowPunct/>
        <w:topLinePunct w:val="0"/>
        <w:autoSpaceDE/>
        <w:autoSpaceDN/>
        <w:bidi w:val="0"/>
        <w:textAlignment w:val="auto"/>
      </w:pPr>
    </w:p>
    <w:p w14:paraId="2B11D7A0">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szCs w:val="21"/>
          <w:u w:val="single"/>
        </w:rPr>
        <w:t>（备注：如联合体投标，投标人一栏需填写联合体各方的名称）</w:t>
      </w:r>
    </w:p>
    <w:p w14:paraId="5443D70D">
      <w:pPr>
        <w:keepNext w:val="0"/>
        <w:keepLines w:val="0"/>
        <w:pageBreakBefore w:val="0"/>
        <w:widowControl w:val="0"/>
        <w:kinsoku/>
        <w:wordWrap/>
        <w:overflowPunct/>
        <w:topLinePunct w:val="0"/>
        <w:autoSpaceDE/>
        <w:autoSpaceDN/>
        <w:bidi w:val="0"/>
        <w:textAlignment w:val="auto"/>
      </w:pPr>
    </w:p>
    <w:p w14:paraId="6A7FC14E">
      <w:pPr>
        <w:keepNext w:val="0"/>
        <w:keepLines w:val="0"/>
        <w:pageBreakBefore w:val="0"/>
        <w:widowControl w:val="0"/>
        <w:kinsoku/>
        <w:wordWrap/>
        <w:overflowPunct/>
        <w:topLinePunct w:val="0"/>
        <w:autoSpaceDE/>
        <w:autoSpaceDN/>
        <w:bidi w:val="0"/>
        <w:ind w:firstLine="420" w:firstLineChars="200"/>
        <w:textAlignment w:val="auto"/>
        <w:rPr>
          <w:rFonts w:cs="Courier New"/>
          <w:snapToGrid w:val="0"/>
          <w:szCs w:val="18"/>
        </w:rPr>
      </w:pPr>
    </w:p>
    <w:p w14:paraId="54E502E6">
      <w:pPr>
        <w:pStyle w:val="4"/>
        <w:keepNext w:val="0"/>
        <w:keepLines w:val="0"/>
        <w:pageBreakBefore w:val="0"/>
        <w:widowControl w:val="0"/>
        <w:kinsoku/>
        <w:wordWrap/>
        <w:overflowPunct/>
        <w:topLinePunct w:val="0"/>
        <w:autoSpaceDE/>
        <w:autoSpaceDN/>
        <w:bidi w:val="0"/>
        <w:jc w:val="center"/>
        <w:textAlignment w:val="auto"/>
        <w:rPr>
          <w:rFonts w:ascii="黑体" w:eastAsia="黑体"/>
          <w:b w:val="0"/>
          <w:sz w:val="24"/>
        </w:rPr>
      </w:pPr>
      <w:r>
        <w:rPr>
          <w:rFonts w:hint="eastAsia" w:ascii="黑体" w:eastAsia="黑体"/>
          <w:b w:val="0"/>
          <w:sz w:val="24"/>
        </w:rPr>
        <w:t>三、投标人情况介绍</w:t>
      </w:r>
    </w:p>
    <w:tbl>
      <w:tblPr>
        <w:tblStyle w:val="42"/>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59"/>
        <w:gridCol w:w="4432"/>
        <w:gridCol w:w="1411"/>
      </w:tblGrid>
      <w:tr w14:paraId="329206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78FA352">
            <w:pPr>
              <w:keepNext w:val="0"/>
              <w:keepLines w:val="0"/>
              <w:pageBreakBefore w:val="0"/>
              <w:widowControl w:val="0"/>
              <w:kinsoku/>
              <w:wordWrap/>
              <w:overflowPunct/>
              <w:topLinePunct w:val="0"/>
              <w:autoSpaceDE/>
              <w:autoSpaceDN/>
              <w:bidi w:val="0"/>
              <w:spacing w:after="60"/>
              <w:jc w:val="center"/>
              <w:textAlignment w:val="auto"/>
              <w:rPr>
                <w:rFonts w:ascii="宋体" w:hAnsi="宋体"/>
                <w:b/>
                <w:szCs w:val="21"/>
              </w:rPr>
            </w:pPr>
            <w:r>
              <w:rPr>
                <w:rFonts w:hint="eastAsia" w:ascii="宋体" w:hAnsi="宋体"/>
                <w:b/>
                <w:szCs w:val="21"/>
              </w:rPr>
              <w:t>序号</w:t>
            </w:r>
          </w:p>
        </w:tc>
        <w:tc>
          <w:tcPr>
            <w:tcW w:w="2559" w:type="dxa"/>
          </w:tcPr>
          <w:p w14:paraId="42FA4A0F">
            <w:pPr>
              <w:keepNext w:val="0"/>
              <w:keepLines w:val="0"/>
              <w:pageBreakBefore w:val="0"/>
              <w:widowControl w:val="0"/>
              <w:kinsoku/>
              <w:wordWrap/>
              <w:overflowPunct/>
              <w:topLinePunct w:val="0"/>
              <w:autoSpaceDE/>
              <w:autoSpaceDN/>
              <w:bidi w:val="0"/>
              <w:spacing w:after="60"/>
              <w:jc w:val="center"/>
              <w:textAlignment w:val="auto"/>
              <w:rPr>
                <w:rFonts w:ascii="宋体" w:hAnsi="宋体"/>
                <w:b/>
                <w:szCs w:val="21"/>
              </w:rPr>
            </w:pPr>
            <w:r>
              <w:rPr>
                <w:rFonts w:hint="eastAsia" w:ascii="宋体" w:hAnsi="宋体"/>
                <w:b/>
                <w:szCs w:val="21"/>
              </w:rPr>
              <w:t>项</w:t>
            </w:r>
            <w:r>
              <w:rPr>
                <w:rFonts w:ascii="宋体" w:hAnsi="宋体"/>
                <w:b/>
                <w:szCs w:val="21"/>
              </w:rPr>
              <w:t xml:space="preserve">  </w:t>
            </w:r>
            <w:r>
              <w:rPr>
                <w:rFonts w:hint="eastAsia" w:ascii="宋体" w:hAnsi="宋体"/>
                <w:b/>
                <w:szCs w:val="21"/>
              </w:rPr>
              <w:t>目</w:t>
            </w:r>
          </w:p>
        </w:tc>
        <w:tc>
          <w:tcPr>
            <w:tcW w:w="4432" w:type="dxa"/>
            <w:vAlign w:val="center"/>
          </w:tcPr>
          <w:p w14:paraId="7CAB1CDD">
            <w:pPr>
              <w:keepNext w:val="0"/>
              <w:keepLines w:val="0"/>
              <w:pageBreakBefore w:val="0"/>
              <w:widowControl w:val="0"/>
              <w:kinsoku/>
              <w:wordWrap/>
              <w:overflowPunct/>
              <w:topLinePunct w:val="0"/>
              <w:autoSpaceDE/>
              <w:autoSpaceDN/>
              <w:bidi w:val="0"/>
              <w:spacing w:after="60"/>
              <w:jc w:val="center"/>
              <w:textAlignment w:val="auto"/>
              <w:rPr>
                <w:rFonts w:ascii="宋体" w:hAnsi="宋体"/>
                <w:b/>
                <w:szCs w:val="21"/>
              </w:rPr>
            </w:pPr>
            <w:r>
              <w:rPr>
                <w:rFonts w:hint="eastAsia" w:ascii="宋体" w:hAnsi="宋体"/>
                <w:b/>
                <w:szCs w:val="21"/>
              </w:rPr>
              <w:t>内容及说明</w:t>
            </w:r>
          </w:p>
        </w:tc>
        <w:tc>
          <w:tcPr>
            <w:tcW w:w="1411" w:type="dxa"/>
            <w:vAlign w:val="center"/>
          </w:tcPr>
          <w:p w14:paraId="3DCCCBDA">
            <w:pPr>
              <w:keepNext w:val="0"/>
              <w:keepLines w:val="0"/>
              <w:pageBreakBefore w:val="0"/>
              <w:widowControl w:val="0"/>
              <w:kinsoku/>
              <w:wordWrap/>
              <w:overflowPunct/>
              <w:topLinePunct w:val="0"/>
              <w:autoSpaceDE/>
              <w:autoSpaceDN/>
              <w:bidi w:val="0"/>
              <w:spacing w:after="60"/>
              <w:jc w:val="center"/>
              <w:textAlignment w:val="auto"/>
              <w:rPr>
                <w:rFonts w:ascii="宋体" w:hAnsi="宋体"/>
                <w:b/>
                <w:szCs w:val="21"/>
              </w:rPr>
            </w:pPr>
            <w:r>
              <w:rPr>
                <w:rFonts w:hint="eastAsia" w:ascii="宋体" w:hAnsi="宋体"/>
                <w:b/>
                <w:szCs w:val="21"/>
              </w:rPr>
              <w:t>备注</w:t>
            </w:r>
          </w:p>
        </w:tc>
      </w:tr>
      <w:tr w14:paraId="23E05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8779474">
            <w:pPr>
              <w:keepNext w:val="0"/>
              <w:keepLines w:val="0"/>
              <w:pageBreakBefore w:val="0"/>
              <w:widowControl w:val="0"/>
              <w:kinsoku/>
              <w:wordWrap/>
              <w:overflowPunct/>
              <w:topLinePunct w:val="0"/>
              <w:autoSpaceDE/>
              <w:autoSpaceDN/>
              <w:bidi w:val="0"/>
              <w:spacing w:after="60"/>
              <w:jc w:val="center"/>
              <w:textAlignment w:val="auto"/>
              <w:rPr>
                <w:rFonts w:ascii="宋体" w:hAnsi="宋体"/>
                <w:b/>
                <w:szCs w:val="21"/>
              </w:rPr>
            </w:pPr>
            <w:r>
              <w:rPr>
                <w:rFonts w:hint="eastAsia" w:ascii="宋体" w:hAnsi="宋体"/>
                <w:b/>
                <w:szCs w:val="21"/>
              </w:rPr>
              <w:t>一</w:t>
            </w:r>
          </w:p>
        </w:tc>
        <w:tc>
          <w:tcPr>
            <w:tcW w:w="6991" w:type="dxa"/>
            <w:gridSpan w:val="2"/>
          </w:tcPr>
          <w:p w14:paraId="0FB05168">
            <w:pPr>
              <w:keepNext w:val="0"/>
              <w:keepLines w:val="0"/>
              <w:pageBreakBefore w:val="0"/>
              <w:widowControl w:val="0"/>
              <w:kinsoku/>
              <w:wordWrap/>
              <w:overflowPunct/>
              <w:topLinePunct w:val="0"/>
              <w:autoSpaceDE/>
              <w:autoSpaceDN/>
              <w:bidi w:val="0"/>
              <w:spacing w:after="60"/>
              <w:textAlignment w:val="auto"/>
              <w:rPr>
                <w:rFonts w:ascii="宋体" w:hAnsi="宋体"/>
                <w:b/>
                <w:szCs w:val="21"/>
              </w:rPr>
            </w:pPr>
            <w:r>
              <w:rPr>
                <w:rFonts w:hint="eastAsia" w:ascii="宋体" w:hAnsi="宋体"/>
                <w:b/>
                <w:szCs w:val="21"/>
              </w:rPr>
              <w:t>营业执照</w:t>
            </w:r>
          </w:p>
        </w:tc>
        <w:tc>
          <w:tcPr>
            <w:tcW w:w="1411" w:type="dxa"/>
            <w:vAlign w:val="center"/>
          </w:tcPr>
          <w:p w14:paraId="39C45463">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p>
        </w:tc>
      </w:tr>
      <w:tr w14:paraId="16A84A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BCA1285">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ascii="宋体" w:hAnsi="宋体"/>
                <w:szCs w:val="21"/>
              </w:rPr>
              <w:t>1</w:t>
            </w:r>
          </w:p>
        </w:tc>
        <w:tc>
          <w:tcPr>
            <w:tcW w:w="2559" w:type="dxa"/>
            <w:vAlign w:val="center"/>
          </w:tcPr>
          <w:p w14:paraId="7398AE52">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注册年度及注册编号</w:t>
            </w:r>
          </w:p>
        </w:tc>
        <w:tc>
          <w:tcPr>
            <w:tcW w:w="4432" w:type="dxa"/>
            <w:vAlign w:val="center"/>
          </w:tcPr>
          <w:p w14:paraId="7BD33470">
            <w:pPr>
              <w:keepNext w:val="0"/>
              <w:keepLines w:val="0"/>
              <w:pageBreakBefore w:val="0"/>
              <w:widowControl w:val="0"/>
              <w:kinsoku/>
              <w:wordWrap/>
              <w:overflowPunct/>
              <w:topLinePunct w:val="0"/>
              <w:autoSpaceDE/>
              <w:autoSpaceDN/>
              <w:bidi w:val="0"/>
              <w:spacing w:after="60"/>
              <w:textAlignment w:val="auto"/>
              <w:rPr>
                <w:rFonts w:ascii="宋体" w:hAnsi="宋体"/>
                <w:szCs w:val="21"/>
              </w:rPr>
            </w:pPr>
          </w:p>
        </w:tc>
        <w:tc>
          <w:tcPr>
            <w:tcW w:w="1411" w:type="dxa"/>
            <w:vAlign w:val="center"/>
          </w:tcPr>
          <w:p w14:paraId="6CC86F35">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p>
        </w:tc>
      </w:tr>
      <w:tr w14:paraId="654334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5477E21">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ascii="宋体" w:hAnsi="宋体"/>
                <w:szCs w:val="21"/>
              </w:rPr>
              <w:t>2</w:t>
            </w:r>
          </w:p>
        </w:tc>
        <w:tc>
          <w:tcPr>
            <w:tcW w:w="2559" w:type="dxa"/>
            <w:vAlign w:val="center"/>
          </w:tcPr>
          <w:p w14:paraId="51B5AA9E">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注册资金（万元）</w:t>
            </w:r>
          </w:p>
        </w:tc>
        <w:tc>
          <w:tcPr>
            <w:tcW w:w="4432" w:type="dxa"/>
            <w:vAlign w:val="center"/>
          </w:tcPr>
          <w:p w14:paraId="6F719C59">
            <w:pPr>
              <w:keepNext w:val="0"/>
              <w:keepLines w:val="0"/>
              <w:pageBreakBefore w:val="0"/>
              <w:widowControl w:val="0"/>
              <w:kinsoku/>
              <w:wordWrap/>
              <w:overflowPunct/>
              <w:topLinePunct w:val="0"/>
              <w:autoSpaceDE/>
              <w:autoSpaceDN/>
              <w:bidi w:val="0"/>
              <w:spacing w:after="60"/>
              <w:textAlignment w:val="auto"/>
              <w:rPr>
                <w:rFonts w:ascii="宋体" w:hAnsi="宋体"/>
                <w:szCs w:val="21"/>
              </w:rPr>
            </w:pPr>
          </w:p>
        </w:tc>
        <w:tc>
          <w:tcPr>
            <w:tcW w:w="1411" w:type="dxa"/>
            <w:vAlign w:val="center"/>
          </w:tcPr>
          <w:p w14:paraId="25BDD903">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p>
        </w:tc>
      </w:tr>
      <w:tr w14:paraId="6F1922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149034D1">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3</w:t>
            </w:r>
          </w:p>
        </w:tc>
        <w:tc>
          <w:tcPr>
            <w:tcW w:w="2559" w:type="dxa"/>
            <w:vAlign w:val="center"/>
          </w:tcPr>
          <w:p w14:paraId="6794411C">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法定代表人</w:t>
            </w:r>
          </w:p>
        </w:tc>
        <w:tc>
          <w:tcPr>
            <w:tcW w:w="4432" w:type="dxa"/>
            <w:vAlign w:val="center"/>
          </w:tcPr>
          <w:p w14:paraId="2F46153E">
            <w:pPr>
              <w:keepNext w:val="0"/>
              <w:keepLines w:val="0"/>
              <w:pageBreakBefore w:val="0"/>
              <w:widowControl w:val="0"/>
              <w:kinsoku/>
              <w:wordWrap/>
              <w:overflowPunct/>
              <w:topLinePunct w:val="0"/>
              <w:autoSpaceDE/>
              <w:autoSpaceDN/>
              <w:bidi w:val="0"/>
              <w:spacing w:after="60"/>
              <w:textAlignment w:val="auto"/>
              <w:rPr>
                <w:rFonts w:ascii="宋体" w:hAnsi="宋体"/>
                <w:szCs w:val="21"/>
              </w:rPr>
            </w:pPr>
          </w:p>
        </w:tc>
        <w:tc>
          <w:tcPr>
            <w:tcW w:w="1411" w:type="dxa"/>
            <w:vAlign w:val="center"/>
          </w:tcPr>
          <w:p w14:paraId="09C249AB">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p>
        </w:tc>
      </w:tr>
      <w:tr w14:paraId="58737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613E62A1">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4</w:t>
            </w:r>
          </w:p>
        </w:tc>
        <w:tc>
          <w:tcPr>
            <w:tcW w:w="2559" w:type="dxa"/>
            <w:vAlign w:val="center"/>
          </w:tcPr>
          <w:p w14:paraId="31017E08">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住所地</w:t>
            </w:r>
          </w:p>
        </w:tc>
        <w:tc>
          <w:tcPr>
            <w:tcW w:w="4432" w:type="dxa"/>
            <w:vAlign w:val="center"/>
          </w:tcPr>
          <w:p w14:paraId="35B490C9">
            <w:pPr>
              <w:keepNext w:val="0"/>
              <w:keepLines w:val="0"/>
              <w:pageBreakBefore w:val="0"/>
              <w:widowControl w:val="0"/>
              <w:kinsoku/>
              <w:wordWrap/>
              <w:overflowPunct/>
              <w:topLinePunct w:val="0"/>
              <w:autoSpaceDE/>
              <w:autoSpaceDN/>
              <w:bidi w:val="0"/>
              <w:spacing w:after="60"/>
              <w:textAlignment w:val="auto"/>
              <w:rPr>
                <w:rFonts w:ascii="宋体" w:hAnsi="宋体"/>
                <w:szCs w:val="21"/>
              </w:rPr>
            </w:pPr>
          </w:p>
        </w:tc>
        <w:tc>
          <w:tcPr>
            <w:tcW w:w="1411" w:type="dxa"/>
            <w:vAlign w:val="center"/>
          </w:tcPr>
          <w:p w14:paraId="403B1A9D">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p>
        </w:tc>
      </w:tr>
      <w:tr w14:paraId="15132C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84F2AFD">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5</w:t>
            </w:r>
          </w:p>
        </w:tc>
        <w:tc>
          <w:tcPr>
            <w:tcW w:w="2559" w:type="dxa"/>
            <w:vAlign w:val="center"/>
          </w:tcPr>
          <w:p w14:paraId="008A838E">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经营范围</w:t>
            </w:r>
          </w:p>
        </w:tc>
        <w:tc>
          <w:tcPr>
            <w:tcW w:w="4432" w:type="dxa"/>
            <w:vAlign w:val="center"/>
          </w:tcPr>
          <w:p w14:paraId="1E7D8304">
            <w:pPr>
              <w:keepNext w:val="0"/>
              <w:keepLines w:val="0"/>
              <w:pageBreakBefore w:val="0"/>
              <w:widowControl w:val="0"/>
              <w:kinsoku/>
              <w:wordWrap/>
              <w:overflowPunct/>
              <w:topLinePunct w:val="0"/>
              <w:autoSpaceDE/>
              <w:autoSpaceDN/>
              <w:bidi w:val="0"/>
              <w:spacing w:after="60"/>
              <w:textAlignment w:val="auto"/>
              <w:rPr>
                <w:rFonts w:ascii="宋体" w:hAnsi="宋体"/>
                <w:szCs w:val="21"/>
              </w:rPr>
            </w:pPr>
          </w:p>
        </w:tc>
        <w:tc>
          <w:tcPr>
            <w:tcW w:w="1411" w:type="dxa"/>
            <w:vAlign w:val="center"/>
          </w:tcPr>
          <w:p w14:paraId="2DC380A0">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p>
        </w:tc>
      </w:tr>
      <w:tr w14:paraId="01C6D0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44B2E545">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6</w:t>
            </w:r>
          </w:p>
        </w:tc>
        <w:tc>
          <w:tcPr>
            <w:tcW w:w="2559" w:type="dxa"/>
            <w:vAlign w:val="center"/>
          </w:tcPr>
          <w:p w14:paraId="40E40E86">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开户银行及账号</w:t>
            </w:r>
          </w:p>
        </w:tc>
        <w:tc>
          <w:tcPr>
            <w:tcW w:w="4432" w:type="dxa"/>
            <w:vAlign w:val="center"/>
          </w:tcPr>
          <w:p w14:paraId="45BCABAC">
            <w:pPr>
              <w:keepNext w:val="0"/>
              <w:keepLines w:val="0"/>
              <w:pageBreakBefore w:val="0"/>
              <w:widowControl w:val="0"/>
              <w:kinsoku/>
              <w:wordWrap/>
              <w:overflowPunct/>
              <w:topLinePunct w:val="0"/>
              <w:autoSpaceDE/>
              <w:autoSpaceDN/>
              <w:bidi w:val="0"/>
              <w:spacing w:after="60"/>
              <w:textAlignment w:val="auto"/>
              <w:rPr>
                <w:rFonts w:ascii="宋体" w:hAnsi="宋体"/>
                <w:szCs w:val="21"/>
              </w:rPr>
            </w:pPr>
          </w:p>
        </w:tc>
        <w:tc>
          <w:tcPr>
            <w:tcW w:w="1411" w:type="dxa"/>
            <w:vAlign w:val="center"/>
          </w:tcPr>
          <w:p w14:paraId="7DAEE38C">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p>
        </w:tc>
      </w:tr>
      <w:tr w14:paraId="40A24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7E371047">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7</w:t>
            </w:r>
          </w:p>
        </w:tc>
        <w:tc>
          <w:tcPr>
            <w:tcW w:w="2559" w:type="dxa"/>
            <w:vAlign w:val="center"/>
          </w:tcPr>
          <w:p w14:paraId="7C4AF42D">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r>
              <w:rPr>
                <w:rFonts w:hint="eastAsia" w:ascii="宋体" w:hAnsi="宋体"/>
                <w:szCs w:val="21"/>
              </w:rPr>
              <w:t>联系方式</w:t>
            </w:r>
          </w:p>
        </w:tc>
        <w:tc>
          <w:tcPr>
            <w:tcW w:w="4432" w:type="dxa"/>
            <w:vAlign w:val="center"/>
          </w:tcPr>
          <w:p w14:paraId="24B8D05D">
            <w:pPr>
              <w:keepNext w:val="0"/>
              <w:keepLines w:val="0"/>
              <w:pageBreakBefore w:val="0"/>
              <w:widowControl w:val="0"/>
              <w:kinsoku/>
              <w:wordWrap/>
              <w:overflowPunct/>
              <w:topLinePunct w:val="0"/>
              <w:autoSpaceDE/>
              <w:autoSpaceDN/>
              <w:bidi w:val="0"/>
              <w:spacing w:after="60"/>
              <w:textAlignment w:val="auto"/>
              <w:rPr>
                <w:rFonts w:ascii="宋体" w:hAnsi="宋体"/>
                <w:szCs w:val="21"/>
              </w:rPr>
            </w:pPr>
          </w:p>
        </w:tc>
        <w:tc>
          <w:tcPr>
            <w:tcW w:w="1411" w:type="dxa"/>
            <w:vAlign w:val="center"/>
          </w:tcPr>
          <w:p w14:paraId="5DA1FAFE">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p>
        </w:tc>
      </w:tr>
      <w:tr w14:paraId="6264C3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vAlign w:val="center"/>
          </w:tcPr>
          <w:p w14:paraId="2636FFCF">
            <w:pPr>
              <w:keepNext w:val="0"/>
              <w:keepLines w:val="0"/>
              <w:pageBreakBefore w:val="0"/>
              <w:widowControl w:val="0"/>
              <w:kinsoku/>
              <w:wordWrap/>
              <w:overflowPunct/>
              <w:topLinePunct w:val="0"/>
              <w:autoSpaceDE/>
              <w:autoSpaceDN/>
              <w:bidi w:val="0"/>
              <w:spacing w:after="60"/>
              <w:jc w:val="center"/>
              <w:textAlignment w:val="auto"/>
              <w:rPr>
                <w:rFonts w:ascii="宋体" w:hAnsi="宋体"/>
                <w:b/>
                <w:szCs w:val="21"/>
              </w:rPr>
            </w:pPr>
            <w:r>
              <w:rPr>
                <w:rFonts w:hint="eastAsia" w:ascii="宋体" w:hAnsi="宋体"/>
                <w:b/>
                <w:szCs w:val="21"/>
              </w:rPr>
              <w:t>二</w:t>
            </w:r>
          </w:p>
        </w:tc>
        <w:tc>
          <w:tcPr>
            <w:tcW w:w="2559" w:type="dxa"/>
            <w:vAlign w:val="center"/>
          </w:tcPr>
          <w:p w14:paraId="4AD5FAE1">
            <w:pPr>
              <w:keepNext w:val="0"/>
              <w:keepLines w:val="0"/>
              <w:pageBreakBefore w:val="0"/>
              <w:widowControl w:val="0"/>
              <w:kinsoku/>
              <w:wordWrap/>
              <w:overflowPunct/>
              <w:topLinePunct w:val="0"/>
              <w:autoSpaceDE/>
              <w:autoSpaceDN/>
              <w:bidi w:val="0"/>
              <w:spacing w:after="60"/>
              <w:jc w:val="left"/>
              <w:textAlignment w:val="auto"/>
              <w:rPr>
                <w:rFonts w:ascii="宋体" w:hAnsi="宋体"/>
                <w:b/>
                <w:szCs w:val="21"/>
              </w:rPr>
            </w:pPr>
            <w:r>
              <w:rPr>
                <w:rFonts w:hint="eastAsia" w:ascii="宋体" w:hAnsi="宋体"/>
                <w:b/>
                <w:szCs w:val="21"/>
              </w:rPr>
              <w:t>其他材料</w:t>
            </w:r>
          </w:p>
        </w:tc>
        <w:tc>
          <w:tcPr>
            <w:tcW w:w="4432" w:type="dxa"/>
            <w:vAlign w:val="center"/>
          </w:tcPr>
          <w:p w14:paraId="16A600B3">
            <w:pPr>
              <w:keepNext w:val="0"/>
              <w:keepLines w:val="0"/>
              <w:pageBreakBefore w:val="0"/>
              <w:widowControl w:val="0"/>
              <w:kinsoku/>
              <w:wordWrap/>
              <w:overflowPunct/>
              <w:topLinePunct w:val="0"/>
              <w:autoSpaceDE/>
              <w:autoSpaceDN/>
              <w:bidi w:val="0"/>
              <w:spacing w:after="60"/>
              <w:textAlignment w:val="auto"/>
              <w:rPr>
                <w:rFonts w:ascii="宋体" w:hAnsi="宋体"/>
                <w:szCs w:val="21"/>
              </w:rPr>
            </w:pPr>
          </w:p>
        </w:tc>
        <w:tc>
          <w:tcPr>
            <w:tcW w:w="1411" w:type="dxa"/>
            <w:vAlign w:val="center"/>
          </w:tcPr>
          <w:p w14:paraId="6765611E">
            <w:pPr>
              <w:keepNext w:val="0"/>
              <w:keepLines w:val="0"/>
              <w:pageBreakBefore w:val="0"/>
              <w:widowControl w:val="0"/>
              <w:kinsoku/>
              <w:wordWrap/>
              <w:overflowPunct/>
              <w:topLinePunct w:val="0"/>
              <w:autoSpaceDE/>
              <w:autoSpaceDN/>
              <w:bidi w:val="0"/>
              <w:spacing w:after="60"/>
              <w:jc w:val="center"/>
              <w:textAlignment w:val="auto"/>
              <w:rPr>
                <w:rFonts w:ascii="宋体" w:hAnsi="宋体"/>
                <w:szCs w:val="21"/>
              </w:rPr>
            </w:pPr>
          </w:p>
        </w:tc>
      </w:tr>
    </w:tbl>
    <w:p w14:paraId="24EFBBC9">
      <w:pPr>
        <w:keepNext w:val="0"/>
        <w:keepLines w:val="0"/>
        <w:pageBreakBefore w:val="0"/>
        <w:widowControl w:val="0"/>
        <w:kinsoku/>
        <w:wordWrap/>
        <w:overflowPunct/>
        <w:topLinePunct w:val="0"/>
        <w:autoSpaceDE/>
        <w:autoSpaceDN/>
        <w:bidi w:val="0"/>
        <w:spacing w:line="360" w:lineRule="exact"/>
        <w:textAlignment w:val="auto"/>
        <w:rPr>
          <w:bCs/>
          <w:szCs w:val="21"/>
        </w:rPr>
      </w:pPr>
      <w:r>
        <w:rPr>
          <w:rFonts w:hint="eastAsia"/>
          <w:bCs/>
          <w:szCs w:val="21"/>
        </w:rPr>
        <w:t>注：供应商应填写上述表格内容，并可根据自身情况自行对表格内容进行补充和完善。</w:t>
      </w:r>
    </w:p>
    <w:p w14:paraId="4D67CF5A">
      <w:pPr>
        <w:keepNext w:val="0"/>
        <w:keepLines w:val="0"/>
        <w:pageBreakBefore w:val="0"/>
        <w:widowControl w:val="0"/>
        <w:kinsoku/>
        <w:wordWrap/>
        <w:overflowPunct/>
        <w:topLinePunct w:val="0"/>
        <w:autoSpaceDE/>
        <w:autoSpaceDN/>
        <w:bidi w:val="0"/>
        <w:ind w:left="632" w:hanging="632" w:hangingChars="300"/>
        <w:textAlignment w:val="auto"/>
        <w:rPr>
          <w:b/>
          <w:bCs/>
        </w:rPr>
      </w:pPr>
    </w:p>
    <w:p w14:paraId="7A37D742">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szCs w:val="21"/>
          <w:u w:val="single"/>
        </w:rPr>
        <w:t>（备注：如联合体投标，联合体各方均需提供情况介绍）</w:t>
      </w:r>
    </w:p>
    <w:p w14:paraId="1034E689">
      <w:pPr>
        <w:keepNext w:val="0"/>
        <w:keepLines w:val="0"/>
        <w:pageBreakBefore w:val="0"/>
        <w:widowControl w:val="0"/>
        <w:kinsoku/>
        <w:wordWrap/>
        <w:overflowPunct/>
        <w:topLinePunct w:val="0"/>
        <w:autoSpaceDE/>
        <w:autoSpaceDN/>
        <w:bidi w:val="0"/>
        <w:ind w:left="632" w:hanging="632" w:hangingChars="300"/>
        <w:textAlignment w:val="auto"/>
        <w:rPr>
          <w:b/>
          <w:bCs/>
        </w:rPr>
      </w:pPr>
    </w:p>
    <w:p w14:paraId="6E976FD3">
      <w:pPr>
        <w:keepNext w:val="0"/>
        <w:keepLines w:val="0"/>
        <w:pageBreakBefore w:val="0"/>
        <w:widowControl w:val="0"/>
        <w:kinsoku/>
        <w:wordWrap/>
        <w:overflowPunct/>
        <w:topLinePunct w:val="0"/>
        <w:autoSpaceDE/>
        <w:autoSpaceDN/>
        <w:bidi w:val="0"/>
        <w:ind w:left="632" w:hanging="632" w:hangingChars="300"/>
        <w:textAlignment w:val="auto"/>
        <w:rPr>
          <w:b/>
          <w:bCs/>
        </w:rPr>
      </w:pPr>
    </w:p>
    <w:p w14:paraId="06B7F84D">
      <w:pPr>
        <w:keepNext w:val="0"/>
        <w:keepLines w:val="0"/>
        <w:pageBreakBefore w:val="0"/>
        <w:widowControl w:val="0"/>
        <w:kinsoku/>
        <w:wordWrap/>
        <w:overflowPunct/>
        <w:topLinePunct w:val="0"/>
        <w:autoSpaceDE/>
        <w:autoSpaceDN/>
        <w:bidi w:val="0"/>
        <w:jc w:val="center"/>
        <w:textAlignment w:val="auto"/>
        <w:outlineLvl w:val="3"/>
        <w:rPr>
          <w:rFonts w:ascii="黑体" w:hAnsi="宋体" w:eastAsia="黑体"/>
          <w:bCs/>
          <w:kern w:val="0"/>
          <w:sz w:val="24"/>
          <w:szCs w:val="32"/>
        </w:rPr>
      </w:pPr>
      <w:r>
        <w:rPr>
          <w:rFonts w:hint="eastAsia" w:ascii="黑体" w:hAnsi="宋体" w:eastAsia="黑体"/>
          <w:bCs/>
          <w:kern w:val="0"/>
          <w:sz w:val="24"/>
          <w:szCs w:val="32"/>
        </w:rPr>
        <w:t>四、中小企业声明函等符合政府采购扶持政策的证明材料</w:t>
      </w:r>
    </w:p>
    <w:p w14:paraId="73FA4244">
      <w:pPr>
        <w:keepNext w:val="0"/>
        <w:keepLines w:val="0"/>
        <w:pageBreakBefore w:val="0"/>
        <w:widowControl w:val="0"/>
        <w:kinsoku/>
        <w:wordWrap/>
        <w:overflowPunct/>
        <w:topLinePunct w:val="0"/>
        <w:autoSpaceDE/>
        <w:autoSpaceDN/>
        <w:bidi w:val="0"/>
        <w:jc w:val="left"/>
        <w:textAlignment w:val="auto"/>
        <w:outlineLvl w:val="3"/>
        <w:rPr>
          <w:rFonts w:ascii="黑体" w:hAnsi="宋体" w:eastAsia="黑体"/>
          <w:bCs/>
          <w:kern w:val="0"/>
          <w:sz w:val="24"/>
          <w:szCs w:val="32"/>
        </w:rPr>
      </w:pPr>
    </w:p>
    <w:p w14:paraId="3740C655">
      <w:pPr>
        <w:keepNext w:val="0"/>
        <w:keepLines w:val="0"/>
        <w:pageBreakBefore w:val="0"/>
        <w:widowControl w:val="0"/>
        <w:kinsoku/>
        <w:wordWrap/>
        <w:overflowPunct/>
        <w:topLinePunct w:val="0"/>
        <w:autoSpaceDE/>
        <w:autoSpaceDN/>
        <w:bidi w:val="0"/>
        <w:snapToGrid w:val="0"/>
        <w:spacing w:line="360" w:lineRule="auto"/>
        <w:jc w:val="left"/>
        <w:textAlignment w:val="auto"/>
        <w:outlineLvl w:val="4"/>
        <w:rPr>
          <w:rFonts w:ascii="仿宋" w:hAnsi="仿宋" w:eastAsia="仿宋"/>
          <w:b/>
          <w:bCs/>
          <w:kern w:val="0"/>
          <w:sz w:val="25"/>
          <w:szCs w:val="25"/>
        </w:rPr>
      </w:pPr>
      <w:r>
        <w:rPr>
          <w:rFonts w:hint="eastAsia" w:ascii="仿宋" w:hAnsi="仿宋" w:eastAsia="仿宋"/>
          <w:b/>
          <w:bCs/>
          <w:kern w:val="0"/>
          <w:sz w:val="25"/>
          <w:szCs w:val="25"/>
        </w:rPr>
        <w:t>填写指引：</w:t>
      </w:r>
    </w:p>
    <w:p w14:paraId="552D038A">
      <w:pPr>
        <w:keepNext w:val="0"/>
        <w:keepLines w:val="0"/>
        <w:pageBreakBefore w:val="0"/>
        <w:widowControl w:val="0"/>
        <w:kinsoku/>
        <w:wordWrap/>
        <w:overflowPunct/>
        <w:topLinePunct w:val="0"/>
        <w:autoSpaceDE/>
        <w:autoSpaceDN/>
        <w:bidi w:val="0"/>
        <w:snapToGrid w:val="0"/>
        <w:spacing w:line="360" w:lineRule="auto"/>
        <w:ind w:firstLine="424" w:firstLineChars="202"/>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7BF5208">
      <w:pPr>
        <w:keepNext w:val="0"/>
        <w:keepLines w:val="0"/>
        <w:pageBreakBefore w:val="0"/>
        <w:widowControl w:val="0"/>
        <w:kinsoku/>
        <w:wordWrap/>
        <w:overflowPunct/>
        <w:topLinePunct w:val="0"/>
        <w:autoSpaceDE/>
        <w:autoSpaceDN/>
        <w:bidi w:val="0"/>
        <w:snapToGrid w:val="0"/>
        <w:spacing w:line="360" w:lineRule="auto"/>
        <w:ind w:firstLine="426"/>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40B96E6F">
      <w:pPr>
        <w:keepNext w:val="0"/>
        <w:keepLines w:val="0"/>
        <w:pageBreakBefore w:val="0"/>
        <w:widowControl w:val="0"/>
        <w:kinsoku/>
        <w:wordWrap/>
        <w:overflowPunct/>
        <w:topLinePunct w:val="0"/>
        <w:autoSpaceDE/>
        <w:autoSpaceDN/>
        <w:bidi w:val="0"/>
        <w:snapToGrid w:val="0"/>
        <w:spacing w:line="360" w:lineRule="auto"/>
        <w:ind w:firstLine="555"/>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2BB336E">
      <w:pPr>
        <w:keepNext w:val="0"/>
        <w:keepLines w:val="0"/>
        <w:pageBreakBefore w:val="0"/>
        <w:widowControl w:val="0"/>
        <w:kinsoku/>
        <w:wordWrap/>
        <w:overflowPunct/>
        <w:topLinePunct w:val="0"/>
        <w:autoSpaceDE/>
        <w:autoSpaceDN/>
        <w:bidi w:val="0"/>
        <w:snapToGrid w:val="0"/>
        <w:spacing w:line="360" w:lineRule="auto"/>
        <w:ind w:firstLine="555"/>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10" w:name="_Hlk71925120"/>
      <w:r>
        <w:rPr>
          <w:rFonts w:hint="eastAsia" w:asciiTheme="minorEastAsia" w:hAnsiTheme="minorEastAsia" w:eastAsiaTheme="minorEastAsia"/>
          <w:kern w:val="0"/>
          <w:szCs w:val="21"/>
        </w:rPr>
        <w:t>《关于印发中小企业划型标准规定的通知》（工信部联企业〔2011〕300 号</w:t>
      </w:r>
      <w:bookmarkEnd w:id="10"/>
      <w:r>
        <w:rPr>
          <w:rFonts w:hint="eastAsia" w:asciiTheme="minorEastAsia" w:hAnsiTheme="minorEastAsia" w:eastAsiaTheme="minorEastAsia"/>
          <w:kern w:val="0"/>
          <w:szCs w:val="21"/>
        </w:rPr>
        <w:t>）</w:t>
      </w:r>
    </w:p>
    <w:p w14:paraId="50A289CF">
      <w:pPr>
        <w:keepNext w:val="0"/>
        <w:keepLines w:val="0"/>
        <w:pageBreakBefore w:val="0"/>
        <w:widowControl w:val="0"/>
        <w:kinsoku/>
        <w:wordWrap/>
        <w:overflowPunct/>
        <w:topLinePunct w:val="0"/>
        <w:autoSpaceDE/>
        <w:autoSpaceDN/>
        <w:bidi w:val="0"/>
        <w:snapToGrid w:val="0"/>
        <w:spacing w:line="360" w:lineRule="auto"/>
        <w:ind w:firstLine="555"/>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286A5184">
      <w:pPr>
        <w:keepNext w:val="0"/>
        <w:keepLines w:val="0"/>
        <w:pageBreakBefore w:val="0"/>
        <w:widowControl w:val="0"/>
        <w:kinsoku/>
        <w:wordWrap/>
        <w:overflowPunct/>
        <w:topLinePunct w:val="0"/>
        <w:autoSpaceDE/>
        <w:autoSpaceDN/>
        <w:bidi w:val="0"/>
        <w:snapToGrid w:val="0"/>
        <w:spacing w:line="360" w:lineRule="auto"/>
        <w:ind w:firstLine="555"/>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0D5B6B78">
      <w:pPr>
        <w:keepNext w:val="0"/>
        <w:keepLines w:val="0"/>
        <w:pageBreakBefore w:val="0"/>
        <w:widowControl w:val="0"/>
        <w:kinsoku/>
        <w:wordWrap/>
        <w:overflowPunct/>
        <w:topLinePunct w:val="0"/>
        <w:autoSpaceDE/>
        <w:autoSpaceDN/>
        <w:bidi w:val="0"/>
        <w:snapToGrid w:val="0"/>
        <w:spacing w:line="360" w:lineRule="auto"/>
        <w:ind w:firstLine="555"/>
        <w:jc w:val="left"/>
        <w:textAlignment w:val="auto"/>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EA861CC">
      <w:pPr>
        <w:keepNext w:val="0"/>
        <w:keepLines w:val="0"/>
        <w:pageBreakBefore w:val="0"/>
        <w:widowControl w:val="0"/>
        <w:kinsoku/>
        <w:wordWrap/>
        <w:overflowPunct/>
        <w:topLinePunct w:val="0"/>
        <w:autoSpaceDE/>
        <w:autoSpaceDN/>
        <w:bidi w:val="0"/>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3、请依照招标文件提供的格式和内容填写声明函，不要随意变更格式；声明函不需要盖章或签字；满足多项优惠政策的投标人，不重复享受多项价格扣除政策。</w:t>
      </w:r>
    </w:p>
    <w:p w14:paraId="08AC2958">
      <w:pPr>
        <w:keepNext w:val="0"/>
        <w:keepLines w:val="0"/>
        <w:pageBreakBefore w:val="0"/>
        <w:widowControl w:val="0"/>
        <w:kinsoku/>
        <w:wordWrap/>
        <w:overflowPunct/>
        <w:topLinePunct w:val="0"/>
        <w:autoSpaceDE/>
        <w:autoSpaceDN/>
        <w:bidi w:val="0"/>
        <w:snapToGrid w:val="0"/>
        <w:spacing w:line="360" w:lineRule="auto"/>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97F9EE0">
      <w:pPr>
        <w:keepNext w:val="0"/>
        <w:keepLines w:val="0"/>
        <w:pageBreakBefore w:val="0"/>
        <w:widowControl w:val="0"/>
        <w:kinsoku/>
        <w:wordWrap/>
        <w:overflowPunct/>
        <w:topLinePunct w:val="0"/>
        <w:autoSpaceDE/>
        <w:autoSpaceDN/>
        <w:bidi w:val="0"/>
        <w:snapToGrid w:val="0"/>
        <w:spacing w:line="360" w:lineRule="auto"/>
        <w:ind w:firstLine="424" w:firstLineChars="202"/>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612C448E">
      <w:pPr>
        <w:keepNext w:val="0"/>
        <w:keepLines w:val="0"/>
        <w:pageBreakBefore w:val="0"/>
        <w:widowControl w:val="0"/>
        <w:kinsoku/>
        <w:wordWrap/>
        <w:overflowPunct/>
        <w:topLinePunct w:val="0"/>
        <w:autoSpaceDE/>
        <w:autoSpaceDN/>
        <w:bidi w:val="0"/>
        <w:snapToGrid w:val="0"/>
        <w:spacing w:line="360" w:lineRule="auto"/>
        <w:ind w:firstLine="424" w:firstLineChars="202"/>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7DCE9CC">
      <w:pPr>
        <w:keepNext w:val="0"/>
        <w:keepLines w:val="0"/>
        <w:pageBreakBefore w:val="0"/>
        <w:widowControl w:val="0"/>
        <w:kinsoku/>
        <w:wordWrap/>
        <w:overflowPunct/>
        <w:topLinePunct w:val="0"/>
        <w:autoSpaceDE/>
        <w:autoSpaceDN/>
        <w:bidi w:val="0"/>
        <w:snapToGrid w:val="0"/>
        <w:spacing w:line="360" w:lineRule="auto"/>
        <w:ind w:firstLine="424" w:firstLineChars="202"/>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w:t>
      </w:r>
      <w:r>
        <w:rPr>
          <w:rFonts w:hint="eastAsia" w:asciiTheme="minorEastAsia" w:hAnsiTheme="minorEastAsia" w:eastAsiaTheme="minorEastAsia"/>
          <w:b/>
          <w:color w:val="FF0000"/>
          <w:kern w:val="0"/>
          <w:szCs w:val="21"/>
        </w:rPr>
        <w:t>采购标的（货物或服务或工程）的具体名称</w:t>
      </w:r>
      <w:r>
        <w:rPr>
          <w:rFonts w:hint="eastAsia" w:asciiTheme="minorEastAsia" w:hAnsiTheme="minorEastAsia" w:eastAsiaTheme="minorEastAsia"/>
          <w:b/>
          <w:bCs/>
          <w:color w:val="FF0000"/>
          <w:kern w:val="0"/>
          <w:szCs w:val="21"/>
        </w:rPr>
        <w:t>（具体详见第二章招标项目需求，如涉及多项标的，投标人需逐项进行响应）</w:t>
      </w:r>
      <w:r>
        <w:rPr>
          <w:rFonts w:hint="eastAsia" w:asciiTheme="minorEastAsia" w:hAnsiTheme="minorEastAsia" w:eastAsiaTheme="minorEastAsia"/>
          <w:kern w:val="0"/>
          <w:szCs w:val="21"/>
        </w:rPr>
        <w:t>；</w:t>
      </w:r>
    </w:p>
    <w:p w14:paraId="380AE159">
      <w:pPr>
        <w:keepNext w:val="0"/>
        <w:keepLines w:val="0"/>
        <w:pageBreakBefore w:val="0"/>
        <w:widowControl w:val="0"/>
        <w:kinsoku/>
        <w:wordWrap/>
        <w:overflowPunct/>
        <w:topLinePunct w:val="0"/>
        <w:autoSpaceDE/>
        <w:autoSpaceDN/>
        <w:bidi w:val="0"/>
        <w:snapToGrid w:val="0"/>
        <w:spacing w:line="360" w:lineRule="auto"/>
        <w:ind w:firstLine="424" w:firstLineChars="202"/>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w:t>
      </w:r>
      <w:r>
        <w:rPr>
          <w:rFonts w:hint="eastAsia" w:asciiTheme="minorEastAsia" w:hAnsiTheme="minorEastAsia" w:eastAsiaTheme="minorEastAsia"/>
          <w:b/>
          <w:color w:val="FF0000"/>
          <w:kern w:val="0"/>
          <w:szCs w:val="21"/>
        </w:rPr>
        <w:t>采购文件规定的本项目所属行业</w:t>
      </w:r>
      <w:r>
        <w:rPr>
          <w:rFonts w:hint="eastAsia" w:asciiTheme="minorEastAsia" w:hAnsiTheme="minorEastAsia" w:eastAsiaTheme="minorEastAsia"/>
          <w:b/>
          <w:bCs/>
          <w:color w:val="FF0000"/>
          <w:kern w:val="0"/>
          <w:szCs w:val="21"/>
        </w:rPr>
        <w:t>（详见其它关键信息）</w:t>
      </w:r>
      <w:r>
        <w:rPr>
          <w:rFonts w:hint="eastAsia" w:asciiTheme="minorEastAsia" w:hAnsiTheme="minorEastAsia" w:eastAsiaTheme="minorEastAsia"/>
          <w:kern w:val="0"/>
          <w:szCs w:val="21"/>
        </w:rPr>
        <w:t>；</w:t>
      </w:r>
    </w:p>
    <w:p w14:paraId="264F4F56">
      <w:pPr>
        <w:keepNext w:val="0"/>
        <w:keepLines w:val="0"/>
        <w:pageBreakBefore w:val="0"/>
        <w:widowControl w:val="0"/>
        <w:kinsoku/>
        <w:wordWrap/>
        <w:overflowPunct/>
        <w:topLinePunct w:val="0"/>
        <w:autoSpaceDE/>
        <w:autoSpaceDN/>
        <w:bidi w:val="0"/>
        <w:snapToGrid w:val="0"/>
        <w:spacing w:line="360" w:lineRule="auto"/>
        <w:ind w:firstLine="424" w:firstLineChars="202"/>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5FC6076E">
      <w:pPr>
        <w:keepNext w:val="0"/>
        <w:keepLines w:val="0"/>
        <w:pageBreakBefore w:val="0"/>
        <w:widowControl w:val="0"/>
        <w:kinsoku/>
        <w:wordWrap/>
        <w:overflowPunct/>
        <w:topLinePunct w:val="0"/>
        <w:autoSpaceDE/>
        <w:autoSpaceDN/>
        <w:bidi w:val="0"/>
        <w:snapToGrid w:val="0"/>
        <w:spacing w:line="360" w:lineRule="auto"/>
        <w:ind w:firstLine="424" w:firstLineChars="202"/>
        <w:jc w:val="left"/>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p>
    <w:p w14:paraId="321FD311">
      <w:pPr>
        <w:keepNext w:val="0"/>
        <w:keepLines w:val="0"/>
        <w:pageBreakBefore w:val="0"/>
        <w:widowControl w:val="0"/>
        <w:kinsoku/>
        <w:wordWrap/>
        <w:overflowPunct/>
        <w:topLinePunct w:val="0"/>
        <w:autoSpaceDE/>
        <w:autoSpaceDN/>
        <w:bidi w:val="0"/>
        <w:snapToGrid w:val="0"/>
        <w:spacing w:line="360" w:lineRule="auto"/>
        <w:ind w:firstLine="426" w:firstLineChars="202"/>
        <w:jc w:val="left"/>
        <w:textAlignment w:val="auto"/>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241D54E">
      <w:pPr>
        <w:keepNext w:val="0"/>
        <w:keepLines w:val="0"/>
        <w:pageBreakBefore w:val="0"/>
        <w:widowControl w:val="0"/>
        <w:kinsoku/>
        <w:wordWrap/>
        <w:overflowPunct/>
        <w:topLinePunct w:val="0"/>
        <w:autoSpaceDE/>
        <w:autoSpaceDN/>
        <w:bidi w:val="0"/>
        <w:snapToGrid w:val="0"/>
        <w:spacing w:line="360" w:lineRule="auto"/>
        <w:ind w:firstLine="426" w:firstLineChars="202"/>
        <w:jc w:val="left"/>
        <w:textAlignment w:val="auto"/>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rPr>
        <w:t>《中小企业声明函》中制造商、承接/承建企业所属行业应当与招标文件要求的行业相一致</w:t>
      </w:r>
      <w:r>
        <w:rPr>
          <w:rFonts w:hint="eastAsia" w:asciiTheme="minorHAnsi" w:hAnsiTheme="minorHAnsi" w:eastAsiaTheme="minorEastAsia" w:cstheme="minorBidi"/>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1C590D6A">
      <w:pPr>
        <w:keepNext w:val="0"/>
        <w:keepLines w:val="0"/>
        <w:pageBreakBefore w:val="0"/>
        <w:widowControl w:val="0"/>
        <w:kinsoku/>
        <w:wordWrap/>
        <w:overflowPunct/>
        <w:topLinePunct w:val="0"/>
        <w:autoSpaceDE/>
        <w:autoSpaceDN/>
        <w:bidi w:val="0"/>
        <w:jc w:val="center"/>
        <w:textAlignment w:val="auto"/>
        <w:outlineLvl w:val="3"/>
        <w:rPr>
          <w:rFonts w:ascii="黑体" w:hAnsi="宋体" w:eastAsia="黑体"/>
          <w:bCs/>
          <w:kern w:val="0"/>
          <w:sz w:val="24"/>
          <w:szCs w:val="32"/>
        </w:rPr>
      </w:pPr>
    </w:p>
    <w:p w14:paraId="4230D930">
      <w:pPr>
        <w:keepNext w:val="0"/>
        <w:keepLines w:val="0"/>
        <w:pageBreakBefore w:val="0"/>
        <w:widowControl w:val="0"/>
        <w:kinsoku/>
        <w:wordWrap/>
        <w:overflowPunct/>
        <w:topLinePunct w:val="0"/>
        <w:autoSpaceDE/>
        <w:autoSpaceDN/>
        <w:bidi w:val="0"/>
        <w:spacing w:after="60"/>
        <w:jc w:val="center"/>
        <w:textAlignment w:val="auto"/>
        <w:outlineLvl w:val="3"/>
        <w:rPr>
          <w:b/>
          <w:sz w:val="24"/>
        </w:rPr>
      </w:pPr>
      <w:r>
        <w:rPr>
          <w:rFonts w:hint="eastAsia"/>
          <w:b/>
          <w:sz w:val="24"/>
        </w:rPr>
        <w:t>1、中小企业声明函</w:t>
      </w:r>
    </w:p>
    <w:p w14:paraId="4E864B7B">
      <w:pPr>
        <w:pStyle w:val="2"/>
        <w:keepNext w:val="0"/>
        <w:keepLines w:val="0"/>
        <w:pageBreakBefore w:val="0"/>
        <w:widowControl w:val="0"/>
        <w:kinsoku/>
        <w:wordWrap/>
        <w:overflowPunct/>
        <w:topLinePunct w:val="0"/>
        <w:autoSpaceDE/>
        <w:autoSpaceDN/>
        <w:bidi w:val="0"/>
        <w:spacing w:line="360" w:lineRule="exact"/>
        <w:ind w:firstLine="412"/>
        <w:textAlignment w:val="auto"/>
        <w:rPr>
          <w:rFonts w:asciiTheme="minorEastAsia" w:hAnsiTheme="minorEastAsia" w:eastAsiaTheme="minorEastAsia"/>
          <w:b w:val="0"/>
          <w:sz w:val="21"/>
          <w:szCs w:val="21"/>
        </w:rPr>
      </w:pPr>
      <w:r>
        <w:rPr>
          <w:rFonts w:asciiTheme="minorEastAsia" w:hAnsiTheme="minorEastAsia" w:eastAsiaTheme="minorEastAsia"/>
          <w:b w:val="0"/>
          <w:sz w:val="21"/>
          <w:szCs w:val="21"/>
        </w:rPr>
        <w:t>本公司（联合体）郑重声明，根据《政府采购促进中小企业发展管理办法》（财库</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2020</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46 号）的规定，本公司（联合体）参加</w:t>
      </w:r>
      <w:r>
        <w:rPr>
          <w:rFonts w:asciiTheme="minorEastAsia" w:hAnsiTheme="minorEastAsia" w:eastAsiaTheme="minorEastAsia"/>
          <w:b w:val="0"/>
          <w:sz w:val="21"/>
          <w:szCs w:val="21"/>
          <w:u w:val="single"/>
        </w:rPr>
        <w:t>（单位名称）</w:t>
      </w:r>
      <w:r>
        <w:rPr>
          <w:rFonts w:asciiTheme="minorEastAsia" w:hAnsiTheme="minorEastAsia" w:eastAsiaTheme="minorEastAsia"/>
          <w:b w:val="0"/>
          <w:sz w:val="21"/>
          <w:szCs w:val="21"/>
        </w:rPr>
        <w:t>的</w:t>
      </w:r>
      <w:r>
        <w:rPr>
          <w:rFonts w:asciiTheme="minorEastAsia" w:hAnsiTheme="minorEastAsia" w:eastAsiaTheme="minorEastAsia"/>
          <w:b w:val="0"/>
          <w:sz w:val="21"/>
          <w:szCs w:val="21"/>
          <w:u w:val="single"/>
        </w:rPr>
        <w:t>（项目名称）</w:t>
      </w:r>
      <w:r>
        <w:rPr>
          <w:rFonts w:asciiTheme="minorEastAsia" w:hAnsiTheme="minorEastAsia" w:eastAsiaTheme="minorEastAsia"/>
          <w:b w:val="0"/>
          <w:sz w:val="21"/>
          <w:szCs w:val="21"/>
        </w:rPr>
        <w:t>采购活动，</w:t>
      </w:r>
      <w:r>
        <w:rPr>
          <w:rFonts w:hint="eastAsia" w:asciiTheme="minorEastAsia" w:hAnsiTheme="minorEastAsia" w:eastAsiaTheme="minorEastAsia"/>
          <w:b w:val="0"/>
          <w:sz w:val="21"/>
          <w:szCs w:val="21"/>
        </w:rPr>
        <w:t>服务全部由符合政策要求的中小企业承接</w:t>
      </w:r>
      <w:r>
        <w:rPr>
          <w:rFonts w:asciiTheme="minorEastAsia" w:hAnsiTheme="minorEastAsia" w:eastAsiaTheme="minorEastAsia"/>
          <w:b w:val="0"/>
          <w:sz w:val="21"/>
          <w:szCs w:val="21"/>
        </w:rPr>
        <w:t>。相关企业（含联合体中的中小企业、签订分包意向协议的中小企业）的具体情况如下：</w:t>
      </w:r>
    </w:p>
    <w:p w14:paraId="67C25152">
      <w:pPr>
        <w:pStyle w:val="2"/>
        <w:keepNext w:val="0"/>
        <w:keepLines w:val="0"/>
        <w:pageBreakBefore w:val="0"/>
        <w:widowControl w:val="0"/>
        <w:kinsoku/>
        <w:wordWrap/>
        <w:overflowPunct/>
        <w:topLinePunct w:val="0"/>
        <w:autoSpaceDE/>
        <w:autoSpaceDN/>
        <w:bidi w:val="0"/>
        <w:spacing w:line="360" w:lineRule="exact"/>
        <w:ind w:firstLine="412"/>
        <w:textAlignment w:val="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1.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3D142B08">
      <w:pPr>
        <w:pStyle w:val="2"/>
        <w:keepNext w:val="0"/>
        <w:keepLines w:val="0"/>
        <w:pageBreakBefore w:val="0"/>
        <w:widowControl w:val="0"/>
        <w:kinsoku/>
        <w:wordWrap/>
        <w:overflowPunct/>
        <w:topLinePunct w:val="0"/>
        <w:autoSpaceDE/>
        <w:autoSpaceDN/>
        <w:bidi w:val="0"/>
        <w:spacing w:line="360" w:lineRule="exact"/>
        <w:ind w:firstLine="412"/>
        <w:textAlignment w:val="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 xml:space="preserve">2. </w:t>
      </w:r>
      <w:r>
        <w:rPr>
          <w:rFonts w:asciiTheme="minorEastAsia" w:hAnsiTheme="minorEastAsia" w:eastAsiaTheme="minorEastAsia"/>
          <w:b w:val="0"/>
          <w:sz w:val="21"/>
          <w:szCs w:val="21"/>
          <w:u w:val="single"/>
        </w:rPr>
        <w:t>（标的名称）</w:t>
      </w:r>
      <w:r>
        <w:rPr>
          <w:rFonts w:asciiTheme="minorEastAsia" w:hAnsiTheme="minorEastAsia" w:eastAsiaTheme="minorEastAsia"/>
          <w:b w:val="0"/>
          <w:sz w:val="21"/>
          <w:szCs w:val="21"/>
        </w:rPr>
        <w:t>，属于</w:t>
      </w:r>
      <w:r>
        <w:rPr>
          <w:rFonts w:asciiTheme="minorEastAsia" w:hAnsiTheme="minorEastAsia" w:eastAsiaTheme="minorEastAsia"/>
          <w:b w:val="0"/>
          <w:sz w:val="21"/>
          <w:szCs w:val="21"/>
          <w:u w:val="single"/>
        </w:rPr>
        <w:t>（采购文件中明确的所属行业）</w:t>
      </w:r>
      <w:r>
        <w:rPr>
          <w:rFonts w:asciiTheme="minorEastAsia" w:hAnsiTheme="minorEastAsia" w:eastAsiaTheme="minorEastAsia"/>
          <w:b w:val="0"/>
          <w:sz w:val="21"/>
          <w:szCs w:val="21"/>
        </w:rPr>
        <w:t>；承接企业为</w:t>
      </w:r>
      <w:r>
        <w:rPr>
          <w:rFonts w:asciiTheme="minorEastAsia" w:hAnsiTheme="minorEastAsia" w:eastAsiaTheme="minorEastAsia"/>
          <w:b w:val="0"/>
          <w:sz w:val="21"/>
          <w:szCs w:val="21"/>
          <w:u w:val="single"/>
        </w:rPr>
        <w:t>（企业名称）</w:t>
      </w:r>
      <w:r>
        <w:rPr>
          <w:rFonts w:asciiTheme="minorEastAsia" w:hAnsiTheme="minorEastAsia" w:eastAsiaTheme="minorEastAsia"/>
          <w:b w:val="0"/>
          <w:sz w:val="21"/>
          <w:szCs w:val="21"/>
        </w:rPr>
        <w:t>，从业人员</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asciiTheme="minorEastAsia" w:hAnsiTheme="minorEastAsia" w:eastAsiaTheme="minorEastAsia"/>
          <w:b w:val="0"/>
          <w:sz w:val="21"/>
          <w:szCs w:val="21"/>
        </w:rPr>
        <w:t>人，营业收入为</w:t>
      </w:r>
      <w:r>
        <w:rPr>
          <w:rFonts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u w:val="single"/>
        </w:rPr>
        <w:tab/>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万元，资产总额为</w:t>
      </w:r>
      <w:r>
        <w:rPr>
          <w:rFonts w:hint="eastAsia" w:asciiTheme="minorEastAsia" w:hAnsiTheme="minorEastAsia" w:eastAsiaTheme="minorEastAsia"/>
          <w:b w:val="0"/>
          <w:sz w:val="21"/>
          <w:szCs w:val="21"/>
          <w:u w:val="single"/>
        </w:rPr>
        <w:t xml:space="preserve">     </w:t>
      </w:r>
      <w:r>
        <w:rPr>
          <w:rFonts w:asciiTheme="minorEastAsia" w:hAnsiTheme="minorEastAsia" w:eastAsiaTheme="minorEastAsia"/>
          <w:b w:val="0"/>
          <w:sz w:val="21"/>
          <w:szCs w:val="21"/>
        </w:rPr>
        <w:t>万元，属于</w:t>
      </w:r>
      <w:r>
        <w:rPr>
          <w:rFonts w:asciiTheme="minorEastAsia" w:hAnsiTheme="minorEastAsia" w:eastAsiaTheme="minorEastAsia"/>
          <w:b w:val="0"/>
          <w:sz w:val="21"/>
          <w:szCs w:val="21"/>
          <w:u w:val="single"/>
        </w:rPr>
        <w:t>（中型企业、小型企业、微型企业）</w:t>
      </w:r>
      <w:r>
        <w:rPr>
          <w:rFonts w:asciiTheme="minorEastAsia" w:hAnsiTheme="minorEastAsia" w:eastAsiaTheme="minorEastAsia"/>
          <w:b w:val="0"/>
          <w:sz w:val="21"/>
          <w:szCs w:val="21"/>
        </w:rPr>
        <w:t>；</w:t>
      </w:r>
    </w:p>
    <w:p w14:paraId="06945880">
      <w:pPr>
        <w:pStyle w:val="2"/>
        <w:keepNext w:val="0"/>
        <w:keepLines w:val="0"/>
        <w:pageBreakBefore w:val="0"/>
        <w:widowControl w:val="0"/>
        <w:kinsoku/>
        <w:wordWrap/>
        <w:overflowPunct/>
        <w:topLinePunct w:val="0"/>
        <w:autoSpaceDE/>
        <w:autoSpaceDN/>
        <w:bidi w:val="0"/>
        <w:spacing w:before="11" w:line="360" w:lineRule="exact"/>
        <w:ind w:firstLine="424" w:firstLineChars="202"/>
        <w:textAlignment w:val="auto"/>
        <w:rPr>
          <w:rFonts w:asciiTheme="minorEastAsia" w:hAnsiTheme="minorEastAsia" w:eastAsiaTheme="minorEastAsia"/>
          <w:b w:val="0"/>
          <w:sz w:val="21"/>
          <w:szCs w:val="21"/>
        </w:rPr>
      </w:pPr>
      <w:r>
        <w:rPr>
          <w:rFonts w:asciiTheme="minorEastAsia" w:hAnsiTheme="minorEastAsia" w:eastAsiaTheme="minorEastAsia"/>
          <w:b w:val="0"/>
          <w:sz w:val="21"/>
          <w:szCs w:val="21"/>
        </w:rPr>
        <w:t>……</w:t>
      </w:r>
    </w:p>
    <w:p w14:paraId="2FA926BB">
      <w:pPr>
        <w:pStyle w:val="2"/>
        <w:keepNext w:val="0"/>
        <w:keepLines w:val="0"/>
        <w:pageBreakBefore w:val="0"/>
        <w:widowControl w:val="0"/>
        <w:kinsoku/>
        <w:wordWrap/>
        <w:overflowPunct/>
        <w:topLinePunct w:val="0"/>
        <w:autoSpaceDE/>
        <w:autoSpaceDN/>
        <w:bidi w:val="0"/>
        <w:spacing w:before="108" w:line="360" w:lineRule="exact"/>
        <w:ind w:firstLine="408"/>
        <w:textAlignment w:val="auto"/>
        <w:rPr>
          <w:rFonts w:asciiTheme="minorEastAsia" w:hAnsiTheme="minorEastAsia" w:eastAsiaTheme="minorEastAsia"/>
          <w:b w:val="0"/>
          <w:sz w:val="21"/>
          <w:szCs w:val="21"/>
        </w:rPr>
      </w:pPr>
      <w:r>
        <w:rPr>
          <w:rFonts w:asciiTheme="minorEastAsia" w:hAnsiTheme="minorEastAsia" w:eastAsiaTheme="minorEastAsia"/>
          <w:b w:val="0"/>
          <w:sz w:val="21"/>
          <w:szCs w:val="21"/>
        </w:rPr>
        <w:t>以上企业，不属于大企业的分支机构，不存在控股股东为大企业的情形，也不存在与大企业的负责人为同一人的情形。</w:t>
      </w:r>
    </w:p>
    <w:p w14:paraId="38CC59FE">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1CD97BFB">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本企业已知悉《政府采购促进中小企业发展管理办法》（财库〔2020〕46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25291A">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Theme="minorEastAsia" w:hAnsiTheme="minorEastAsia" w:eastAsiaTheme="minorEastAsia"/>
          <w:szCs w:val="21"/>
        </w:rPr>
      </w:pPr>
    </w:p>
    <w:p w14:paraId="43A87D9C">
      <w:pPr>
        <w:keepNext w:val="0"/>
        <w:keepLines w:val="0"/>
        <w:pageBreakBefore w:val="0"/>
        <w:widowControl w:val="0"/>
        <w:kinsoku/>
        <w:wordWrap/>
        <w:overflowPunct/>
        <w:topLinePunct w:val="0"/>
        <w:autoSpaceDE/>
        <w:autoSpaceDN/>
        <w:bidi w:val="0"/>
        <w:spacing w:line="360" w:lineRule="exact"/>
        <w:jc w:val="center"/>
        <w:textAlignment w:val="auto"/>
        <w:rPr>
          <w:rFonts w:ascii="Times New Roman" w:hAnsi="Times New Roman"/>
          <w:szCs w:val="24"/>
        </w:rPr>
      </w:pPr>
      <w:r>
        <w:rPr>
          <w:rFonts w:hint="eastAsia" w:ascii="Times New Roman" w:hAnsi="Times New Roman"/>
          <w:szCs w:val="21"/>
        </w:rPr>
        <w:t xml:space="preserve">                           企业名称：</w:t>
      </w:r>
    </w:p>
    <w:p w14:paraId="3C96A785">
      <w:pPr>
        <w:keepNext w:val="0"/>
        <w:keepLines w:val="0"/>
        <w:pageBreakBefore w:val="0"/>
        <w:widowControl w:val="0"/>
        <w:kinsoku/>
        <w:wordWrap/>
        <w:overflowPunct/>
        <w:topLinePunct w:val="0"/>
        <w:autoSpaceDE/>
        <w:autoSpaceDN/>
        <w:bidi w:val="0"/>
        <w:spacing w:line="360" w:lineRule="exact"/>
        <w:textAlignment w:val="auto"/>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DFDA171">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宋体" w:hAnsi="宋体"/>
          <w:szCs w:val="21"/>
        </w:rPr>
      </w:pPr>
      <w:r>
        <w:rPr>
          <w:rFonts w:hint="eastAsia" w:ascii="宋体" w:hAnsi="宋体"/>
          <w:szCs w:val="21"/>
        </w:rPr>
        <w:t>备注：</w:t>
      </w:r>
    </w:p>
    <w:p w14:paraId="00BE25A9">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7E66A0C2">
      <w:pPr>
        <w:keepNext w:val="0"/>
        <w:keepLines w:val="0"/>
        <w:pageBreakBefore w:val="0"/>
        <w:widowControl w:val="0"/>
        <w:kinsoku/>
        <w:wordWrap/>
        <w:overflowPunct/>
        <w:topLinePunct w:val="0"/>
        <w:autoSpaceDE/>
        <w:autoSpaceDN/>
        <w:bidi w:val="0"/>
        <w:spacing w:line="360" w:lineRule="exact"/>
        <w:ind w:firstLine="424" w:firstLineChars="202"/>
        <w:textAlignment w:val="auto"/>
        <w:rPr>
          <w:rFonts w:ascii="宋体" w:hAnsi="宋体"/>
          <w:szCs w:val="21"/>
        </w:rPr>
      </w:pPr>
      <w:r>
        <w:rPr>
          <w:rFonts w:hint="eastAsia" w:ascii="宋体" w:hAnsi="宋体"/>
          <w:szCs w:val="21"/>
        </w:rPr>
        <w:t>2、从业人员、营业收入、资产总额填报上一年度数据，无上一年度数据的新成立企业可不填报。</w:t>
      </w:r>
    </w:p>
    <w:p w14:paraId="38DE75BF">
      <w:pPr>
        <w:keepNext w:val="0"/>
        <w:keepLines w:val="0"/>
        <w:pageBreakBefore w:val="0"/>
        <w:widowControl w:val="0"/>
        <w:kinsoku/>
        <w:wordWrap/>
        <w:overflowPunct/>
        <w:topLinePunct w:val="0"/>
        <w:autoSpaceDE/>
        <w:autoSpaceDN/>
        <w:bidi w:val="0"/>
        <w:spacing w:line="360" w:lineRule="exact"/>
        <w:ind w:firstLine="424" w:firstLineChars="202"/>
        <w:textAlignment w:val="auto"/>
        <w:rPr>
          <w:rFonts w:asciiTheme="minorEastAsia" w:hAnsiTheme="minorEastAsia" w:eastAsiaTheme="minorEastAsia" w:cstheme="minorBidi"/>
        </w:rPr>
      </w:pPr>
      <w:r>
        <w:rPr>
          <w:rFonts w:hint="eastAsia" w:asciiTheme="minorEastAsia" w:hAnsiTheme="minorEastAsia" w:eastAsiaTheme="minorEastAsia" w:cstheme="minorBidi"/>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rPr>
        <w:t>《中小企业声明函》中相关企业所属行业应当与采购标的所属行业相一致</w:t>
      </w:r>
      <w:r>
        <w:rPr>
          <w:rFonts w:hint="eastAsia" w:asciiTheme="minorEastAsia" w:hAnsiTheme="minorEastAsia" w:eastAsiaTheme="minorEastAsia" w:cstheme="minorBidi"/>
        </w:rPr>
        <w:t>。</w:t>
      </w:r>
    </w:p>
    <w:p w14:paraId="17F1AF66">
      <w:pPr>
        <w:keepNext w:val="0"/>
        <w:keepLines w:val="0"/>
        <w:pageBreakBefore w:val="0"/>
        <w:widowControl w:val="0"/>
        <w:kinsoku/>
        <w:wordWrap/>
        <w:overflowPunct/>
        <w:topLinePunct w:val="0"/>
        <w:autoSpaceDE/>
        <w:autoSpaceDN/>
        <w:bidi w:val="0"/>
        <w:spacing w:line="360" w:lineRule="exact"/>
        <w:ind w:firstLine="424" w:firstLineChars="202"/>
        <w:textAlignment w:val="auto"/>
        <w:rPr>
          <w:rFonts w:asciiTheme="minorHAnsi" w:hAnsiTheme="minorHAnsi" w:eastAsiaTheme="minorEastAsia" w:cstheme="minorBidi"/>
        </w:rPr>
      </w:pPr>
      <w:r>
        <w:rPr>
          <w:rFonts w:hint="eastAsia" w:asciiTheme="minorHAnsi" w:hAnsiTheme="minorHAnsi" w:eastAsiaTheme="minorEastAsia" w:cstheme="minorBidi"/>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CD3DCE2">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ascii="宋体" w:hAnsi="宋体"/>
          <w:szCs w:val="21"/>
        </w:rPr>
      </w:pPr>
    </w:p>
    <w:p w14:paraId="22A37754">
      <w:pPr>
        <w:keepNext w:val="0"/>
        <w:keepLines w:val="0"/>
        <w:pageBreakBefore w:val="0"/>
        <w:widowControl w:val="0"/>
        <w:kinsoku/>
        <w:wordWrap/>
        <w:overflowPunct/>
        <w:topLinePunct w:val="0"/>
        <w:autoSpaceDE/>
        <w:autoSpaceDN/>
        <w:bidi w:val="0"/>
        <w:spacing w:after="60" w:line="360" w:lineRule="exact"/>
        <w:jc w:val="center"/>
        <w:textAlignment w:val="auto"/>
        <w:outlineLvl w:val="3"/>
        <w:rPr>
          <w:b/>
          <w:sz w:val="24"/>
        </w:rPr>
      </w:pPr>
      <w:r>
        <w:rPr>
          <w:rFonts w:hint="eastAsia"/>
          <w:b/>
          <w:sz w:val="24"/>
        </w:rPr>
        <w:t>2、监狱企业声明函</w:t>
      </w:r>
    </w:p>
    <w:p w14:paraId="56908FA2">
      <w:pPr>
        <w:keepNext w:val="0"/>
        <w:keepLines w:val="0"/>
        <w:pageBreakBefore w:val="0"/>
        <w:widowControl w:val="0"/>
        <w:kinsoku/>
        <w:wordWrap/>
        <w:overflowPunct/>
        <w:topLinePunct w:val="0"/>
        <w:autoSpaceDE/>
        <w:autoSpaceDN/>
        <w:bidi w:val="0"/>
        <w:spacing w:after="60" w:line="360" w:lineRule="exact"/>
        <w:ind w:firstLine="420" w:firstLineChars="200"/>
        <w:textAlignment w:val="auto"/>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1C428651">
      <w:pPr>
        <w:keepNext w:val="0"/>
        <w:keepLines w:val="0"/>
        <w:pageBreakBefore w:val="0"/>
        <w:widowControl w:val="0"/>
        <w:kinsoku/>
        <w:wordWrap/>
        <w:overflowPunct/>
        <w:topLinePunct w:val="0"/>
        <w:autoSpaceDE/>
        <w:autoSpaceDN/>
        <w:bidi w:val="0"/>
        <w:spacing w:after="60" w:line="360" w:lineRule="exact"/>
        <w:ind w:firstLine="420" w:firstLineChars="200"/>
        <w:textAlignment w:val="auto"/>
        <w:rPr>
          <w:rFonts w:ascii="宋体" w:hAnsi="宋体"/>
          <w:szCs w:val="21"/>
        </w:rPr>
      </w:pPr>
      <w:r>
        <w:rPr>
          <w:rFonts w:hint="eastAsia" w:ascii="宋体" w:hAnsi="宋体"/>
          <w:szCs w:val="21"/>
        </w:rPr>
        <w:t>本单位对上述声明的真实性负责。如有虚假，将依法承担相应责任。</w:t>
      </w:r>
    </w:p>
    <w:p w14:paraId="3FB2CF3B">
      <w:pPr>
        <w:keepNext w:val="0"/>
        <w:keepLines w:val="0"/>
        <w:pageBreakBefore w:val="0"/>
        <w:widowControl w:val="0"/>
        <w:kinsoku/>
        <w:wordWrap/>
        <w:overflowPunct/>
        <w:topLinePunct w:val="0"/>
        <w:autoSpaceDE/>
        <w:autoSpaceDN/>
        <w:bidi w:val="0"/>
        <w:spacing w:line="360" w:lineRule="exact"/>
        <w:jc w:val="center"/>
        <w:textAlignment w:val="auto"/>
      </w:pPr>
      <w:r>
        <w:rPr>
          <w:rFonts w:hint="eastAsia"/>
          <w:szCs w:val="21"/>
        </w:rPr>
        <w:t xml:space="preserve">                             单位名称：</w:t>
      </w:r>
    </w:p>
    <w:p w14:paraId="279D22A4">
      <w:pPr>
        <w:keepNext w:val="0"/>
        <w:keepLines w:val="0"/>
        <w:pageBreakBefore w:val="0"/>
        <w:widowControl w:val="0"/>
        <w:kinsoku/>
        <w:wordWrap/>
        <w:overflowPunct/>
        <w:topLinePunct w:val="0"/>
        <w:autoSpaceDE/>
        <w:autoSpaceDN/>
        <w:bidi w:val="0"/>
        <w:spacing w:line="360" w:lineRule="exact"/>
        <w:textAlignment w:val="auto"/>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8D82DAD">
      <w:pPr>
        <w:keepNext w:val="0"/>
        <w:keepLines w:val="0"/>
        <w:pageBreakBefore w:val="0"/>
        <w:widowControl w:val="0"/>
        <w:kinsoku/>
        <w:wordWrap/>
        <w:overflowPunct/>
        <w:topLinePunct w:val="0"/>
        <w:autoSpaceDE/>
        <w:autoSpaceDN/>
        <w:bidi w:val="0"/>
        <w:spacing w:line="360" w:lineRule="exact"/>
        <w:ind w:firstLine="645"/>
        <w:textAlignment w:val="auto"/>
        <w:rPr>
          <w:rFonts w:ascii="宋体"/>
          <w:b/>
          <w:szCs w:val="21"/>
        </w:rPr>
      </w:pPr>
      <w:r>
        <w:rPr>
          <w:rFonts w:hint="eastAsia" w:ascii="宋体" w:hAnsi="宋体"/>
          <w:szCs w:val="21"/>
        </w:rPr>
        <w:t xml:space="preserve">                                    </w:t>
      </w:r>
    </w:p>
    <w:p w14:paraId="25A37C1F">
      <w:pPr>
        <w:keepNext w:val="0"/>
        <w:keepLines w:val="0"/>
        <w:pageBreakBefore w:val="0"/>
        <w:widowControl w:val="0"/>
        <w:kinsoku/>
        <w:wordWrap/>
        <w:overflowPunct/>
        <w:topLinePunct w:val="0"/>
        <w:autoSpaceDE/>
        <w:autoSpaceDN/>
        <w:bidi w:val="0"/>
        <w:spacing w:after="60" w:line="360" w:lineRule="exact"/>
        <w:ind w:firstLine="422" w:firstLineChars="200"/>
        <w:textAlignment w:val="auto"/>
        <w:rPr>
          <w:rFonts w:ascii="宋体" w:hAnsi="宋体"/>
          <w:b/>
          <w:szCs w:val="21"/>
        </w:rPr>
      </w:pPr>
      <w:r>
        <w:rPr>
          <w:rFonts w:hint="eastAsia" w:ascii="宋体" w:hAnsi="宋体"/>
          <w:b/>
          <w:szCs w:val="21"/>
        </w:rPr>
        <w:t>附：省级以上监狱管理局、戒毒管理局（含新疆生产建设兵团）出具的监狱企业证明文件。</w:t>
      </w:r>
    </w:p>
    <w:p w14:paraId="4E888584">
      <w:pPr>
        <w:keepNext w:val="0"/>
        <w:keepLines w:val="0"/>
        <w:pageBreakBefore w:val="0"/>
        <w:widowControl w:val="0"/>
        <w:kinsoku/>
        <w:wordWrap/>
        <w:overflowPunct/>
        <w:topLinePunct w:val="0"/>
        <w:autoSpaceDE/>
        <w:autoSpaceDN/>
        <w:bidi w:val="0"/>
        <w:ind w:left="723" w:hanging="723" w:hangingChars="300"/>
        <w:textAlignment w:val="auto"/>
        <w:rPr>
          <w:b/>
          <w:sz w:val="24"/>
        </w:rPr>
      </w:pPr>
    </w:p>
    <w:p w14:paraId="7D76C198">
      <w:pPr>
        <w:keepNext w:val="0"/>
        <w:keepLines w:val="0"/>
        <w:pageBreakBefore w:val="0"/>
        <w:widowControl w:val="0"/>
        <w:kinsoku/>
        <w:wordWrap/>
        <w:overflowPunct/>
        <w:topLinePunct w:val="0"/>
        <w:autoSpaceDE/>
        <w:autoSpaceDN/>
        <w:bidi w:val="0"/>
        <w:spacing w:line="360" w:lineRule="exact"/>
        <w:ind w:firstLine="424" w:firstLineChars="202"/>
        <w:textAlignment w:val="auto"/>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9646E21">
      <w:pPr>
        <w:keepNext w:val="0"/>
        <w:keepLines w:val="0"/>
        <w:pageBreakBefore w:val="0"/>
        <w:widowControl w:val="0"/>
        <w:kinsoku/>
        <w:wordWrap/>
        <w:overflowPunct/>
        <w:topLinePunct w:val="0"/>
        <w:autoSpaceDE/>
        <w:autoSpaceDN/>
        <w:bidi w:val="0"/>
        <w:spacing w:after="60" w:line="360" w:lineRule="exact"/>
        <w:ind w:firstLine="420" w:firstLineChars="200"/>
        <w:textAlignment w:val="auto"/>
        <w:rPr>
          <w:rFonts w:ascii="宋体" w:hAnsi="宋体"/>
          <w:szCs w:val="21"/>
        </w:rPr>
      </w:pPr>
      <w:r>
        <w:rPr>
          <w:rFonts w:hint="eastAsia" w:ascii="宋体" w:hAnsi="宋体"/>
          <w:szCs w:val="21"/>
        </w:rPr>
        <w:t xml:space="preserve">                                     </w:t>
      </w:r>
    </w:p>
    <w:p w14:paraId="36850617">
      <w:pPr>
        <w:keepNext w:val="0"/>
        <w:keepLines w:val="0"/>
        <w:pageBreakBefore w:val="0"/>
        <w:widowControl w:val="0"/>
        <w:kinsoku/>
        <w:wordWrap/>
        <w:overflowPunct/>
        <w:topLinePunct w:val="0"/>
        <w:autoSpaceDE/>
        <w:autoSpaceDN/>
        <w:bidi w:val="0"/>
        <w:spacing w:after="60" w:line="360" w:lineRule="exact"/>
        <w:jc w:val="center"/>
        <w:textAlignment w:val="auto"/>
        <w:outlineLvl w:val="3"/>
        <w:rPr>
          <w:b/>
          <w:bCs/>
        </w:rPr>
      </w:pPr>
      <w:r>
        <w:rPr>
          <w:rFonts w:hint="eastAsia"/>
          <w:b/>
          <w:sz w:val="24"/>
        </w:rPr>
        <w:t>3、残疾人福利性单位声明函</w:t>
      </w:r>
    </w:p>
    <w:p w14:paraId="4D17DEBF">
      <w:pPr>
        <w:keepNext w:val="0"/>
        <w:keepLines w:val="0"/>
        <w:pageBreakBefore w:val="0"/>
        <w:widowControl w:val="0"/>
        <w:kinsoku/>
        <w:wordWrap/>
        <w:overflowPunct/>
        <w:topLinePunct w:val="0"/>
        <w:autoSpaceDE/>
        <w:autoSpaceDN/>
        <w:bidi w:val="0"/>
        <w:spacing w:line="360" w:lineRule="exact"/>
        <w:ind w:firstLine="420" w:firstLineChars="200"/>
        <w:jc w:val="left"/>
        <w:textAlignment w:val="auto"/>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75E3BEFC">
      <w:pPr>
        <w:keepNext w:val="0"/>
        <w:keepLines w:val="0"/>
        <w:pageBreakBefore w:val="0"/>
        <w:widowControl w:val="0"/>
        <w:kinsoku/>
        <w:wordWrap/>
        <w:overflowPunct/>
        <w:topLinePunct w:val="0"/>
        <w:autoSpaceDE/>
        <w:autoSpaceDN/>
        <w:bidi w:val="0"/>
        <w:spacing w:after="60" w:line="360" w:lineRule="exact"/>
        <w:ind w:firstLine="420" w:firstLineChars="200"/>
        <w:textAlignment w:val="auto"/>
        <w:rPr>
          <w:rFonts w:ascii="宋体" w:hAnsi="宋体"/>
          <w:szCs w:val="21"/>
        </w:rPr>
      </w:pPr>
      <w:r>
        <w:rPr>
          <w:rFonts w:hint="eastAsia" w:ascii="宋体" w:hAnsi="宋体"/>
          <w:szCs w:val="21"/>
        </w:rPr>
        <w:t>本单位对上述声明的真实性负责。如有虚假，将依法承担相应责任。</w:t>
      </w:r>
    </w:p>
    <w:p w14:paraId="2FEAFF83">
      <w:pPr>
        <w:keepNext w:val="0"/>
        <w:keepLines w:val="0"/>
        <w:pageBreakBefore w:val="0"/>
        <w:widowControl w:val="0"/>
        <w:kinsoku/>
        <w:wordWrap/>
        <w:overflowPunct/>
        <w:topLinePunct w:val="0"/>
        <w:autoSpaceDE/>
        <w:autoSpaceDN/>
        <w:bidi w:val="0"/>
        <w:spacing w:after="60" w:line="360" w:lineRule="exact"/>
        <w:ind w:firstLine="420" w:firstLineChars="200"/>
        <w:textAlignment w:val="auto"/>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1CC74CBA">
      <w:pPr>
        <w:keepNext w:val="0"/>
        <w:keepLines w:val="0"/>
        <w:pageBreakBefore w:val="0"/>
        <w:widowControl w:val="0"/>
        <w:kinsoku/>
        <w:wordWrap/>
        <w:overflowPunct/>
        <w:topLinePunct w:val="0"/>
        <w:autoSpaceDE/>
        <w:autoSpaceDN/>
        <w:bidi w:val="0"/>
        <w:spacing w:line="360" w:lineRule="exact"/>
        <w:jc w:val="center"/>
        <w:textAlignment w:val="auto"/>
      </w:pPr>
      <w:r>
        <w:rPr>
          <w:rFonts w:hint="eastAsia"/>
          <w:szCs w:val="21"/>
        </w:rPr>
        <w:t xml:space="preserve">                             单位名称：</w:t>
      </w:r>
    </w:p>
    <w:p w14:paraId="11B9ABBC">
      <w:pPr>
        <w:keepNext w:val="0"/>
        <w:keepLines w:val="0"/>
        <w:pageBreakBefore w:val="0"/>
        <w:widowControl w:val="0"/>
        <w:kinsoku/>
        <w:wordWrap/>
        <w:overflowPunct/>
        <w:topLinePunct w:val="0"/>
        <w:autoSpaceDE/>
        <w:autoSpaceDN/>
        <w:bidi w:val="0"/>
        <w:spacing w:line="360" w:lineRule="exact"/>
        <w:textAlignment w:val="auto"/>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3143581">
      <w:pPr>
        <w:keepNext w:val="0"/>
        <w:keepLines w:val="0"/>
        <w:pageBreakBefore w:val="0"/>
        <w:widowControl w:val="0"/>
        <w:kinsoku/>
        <w:wordWrap/>
        <w:overflowPunct/>
        <w:topLinePunct w:val="0"/>
        <w:autoSpaceDE/>
        <w:autoSpaceDN/>
        <w:bidi w:val="0"/>
        <w:spacing w:line="360" w:lineRule="exact"/>
        <w:ind w:firstLine="424" w:firstLineChars="202"/>
        <w:textAlignment w:val="auto"/>
        <w:rPr>
          <w:rFonts w:ascii="宋体" w:hAnsi="宋体"/>
          <w:szCs w:val="21"/>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4EE4D732">
      <w:pPr>
        <w:keepNext w:val="0"/>
        <w:keepLines w:val="0"/>
        <w:pageBreakBefore w:val="0"/>
        <w:widowControl w:val="0"/>
        <w:tabs>
          <w:tab w:val="left" w:pos="0"/>
        </w:tabs>
        <w:kinsoku/>
        <w:wordWrap/>
        <w:overflowPunct/>
        <w:topLinePunct w:val="0"/>
        <w:autoSpaceDE/>
        <w:autoSpaceDN/>
        <w:bidi w:val="0"/>
        <w:spacing w:before="280" w:after="290" w:line="376" w:lineRule="auto"/>
        <w:jc w:val="center"/>
        <w:textAlignment w:val="auto"/>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42"/>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EB1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39771A9">
            <w:pPr>
              <w:keepNext w:val="0"/>
              <w:keepLines w:val="0"/>
              <w:pageBreakBefore w:val="0"/>
              <w:widowControl w:val="0"/>
              <w:kinsoku/>
              <w:wordWrap/>
              <w:overflowPunct/>
              <w:topLinePunct w:val="0"/>
              <w:autoSpaceDE/>
              <w:autoSpaceDN/>
              <w:bidi w:val="0"/>
              <w:jc w:val="center"/>
              <w:textAlignment w:val="auto"/>
              <w:rPr>
                <w:rFonts w:ascii="Times New Roman" w:hAnsi="Times New Roman"/>
                <w:b/>
                <w:szCs w:val="21"/>
              </w:rPr>
            </w:pPr>
            <w:r>
              <w:rPr>
                <w:rFonts w:hint="eastAsia" w:ascii="Times New Roman" w:hAnsi="Times New Roman"/>
                <w:b/>
                <w:szCs w:val="21"/>
              </w:rPr>
              <w:t>序号</w:t>
            </w:r>
          </w:p>
        </w:tc>
        <w:tc>
          <w:tcPr>
            <w:tcW w:w="1213" w:type="dxa"/>
            <w:vMerge w:val="restart"/>
            <w:vAlign w:val="center"/>
          </w:tcPr>
          <w:p w14:paraId="38E883F6">
            <w:pPr>
              <w:keepNext w:val="0"/>
              <w:keepLines w:val="0"/>
              <w:pageBreakBefore w:val="0"/>
              <w:widowControl w:val="0"/>
              <w:kinsoku/>
              <w:wordWrap/>
              <w:overflowPunct/>
              <w:topLinePunct w:val="0"/>
              <w:autoSpaceDE/>
              <w:autoSpaceDN/>
              <w:bidi w:val="0"/>
              <w:jc w:val="center"/>
              <w:textAlignment w:val="auto"/>
              <w:rPr>
                <w:rFonts w:ascii="Times New Roman" w:hAnsi="Times New Roman"/>
                <w:b/>
                <w:szCs w:val="21"/>
              </w:rPr>
            </w:pPr>
            <w:r>
              <w:rPr>
                <w:rFonts w:hint="eastAsia" w:ascii="Times New Roman" w:hAnsi="Times New Roman"/>
                <w:b/>
                <w:szCs w:val="21"/>
              </w:rPr>
              <w:t>投标产品名称</w:t>
            </w:r>
          </w:p>
        </w:tc>
        <w:tc>
          <w:tcPr>
            <w:tcW w:w="1840" w:type="dxa"/>
            <w:vMerge w:val="restart"/>
            <w:vAlign w:val="center"/>
          </w:tcPr>
          <w:p w14:paraId="56814F7C">
            <w:pPr>
              <w:keepNext w:val="0"/>
              <w:keepLines w:val="0"/>
              <w:pageBreakBefore w:val="0"/>
              <w:widowControl w:val="0"/>
              <w:kinsoku/>
              <w:wordWrap/>
              <w:overflowPunct/>
              <w:topLinePunct w:val="0"/>
              <w:autoSpaceDE/>
              <w:autoSpaceDN/>
              <w:bidi w:val="0"/>
              <w:jc w:val="center"/>
              <w:textAlignment w:val="auto"/>
              <w:rPr>
                <w:rFonts w:ascii="Times New Roman" w:hAnsi="Times New Roman"/>
                <w:b/>
                <w:szCs w:val="21"/>
              </w:rPr>
            </w:pPr>
            <w:r>
              <w:rPr>
                <w:rFonts w:hint="eastAsia" w:ascii="Times New Roman" w:hAnsi="Times New Roman"/>
                <w:b/>
                <w:szCs w:val="21"/>
              </w:rPr>
              <w:t>规格及型号</w:t>
            </w:r>
          </w:p>
        </w:tc>
        <w:tc>
          <w:tcPr>
            <w:tcW w:w="4351" w:type="dxa"/>
            <w:gridSpan w:val="3"/>
            <w:vAlign w:val="center"/>
          </w:tcPr>
          <w:p w14:paraId="7C8AAC49">
            <w:pPr>
              <w:keepNext w:val="0"/>
              <w:keepLines w:val="0"/>
              <w:pageBreakBefore w:val="0"/>
              <w:widowControl w:val="0"/>
              <w:kinsoku/>
              <w:wordWrap/>
              <w:overflowPunct/>
              <w:topLinePunct w:val="0"/>
              <w:autoSpaceDE/>
              <w:autoSpaceDN/>
              <w:bidi w:val="0"/>
              <w:jc w:val="center"/>
              <w:textAlignment w:val="auto"/>
              <w:rPr>
                <w:rFonts w:ascii="Times New Roman" w:hAnsi="Times New Roman"/>
                <w:b/>
                <w:szCs w:val="21"/>
              </w:rPr>
            </w:pPr>
            <w:r>
              <w:rPr>
                <w:rFonts w:hint="eastAsia" w:ascii="Times New Roman" w:hAnsi="Times New Roman"/>
                <w:b/>
                <w:szCs w:val="21"/>
              </w:rPr>
              <w:t>投标产品报价</w:t>
            </w:r>
          </w:p>
        </w:tc>
        <w:tc>
          <w:tcPr>
            <w:tcW w:w="1503" w:type="dxa"/>
            <w:vMerge w:val="restart"/>
            <w:vAlign w:val="center"/>
          </w:tcPr>
          <w:p w14:paraId="27BF9814">
            <w:pPr>
              <w:keepNext w:val="0"/>
              <w:keepLines w:val="0"/>
              <w:pageBreakBefore w:val="0"/>
              <w:widowControl w:val="0"/>
              <w:kinsoku/>
              <w:wordWrap/>
              <w:overflowPunct/>
              <w:topLinePunct w:val="0"/>
              <w:autoSpaceDE/>
              <w:autoSpaceDN/>
              <w:bidi w:val="0"/>
              <w:jc w:val="center"/>
              <w:textAlignment w:val="auto"/>
              <w:rPr>
                <w:rFonts w:ascii="Times New Roman" w:hAnsi="Times New Roman"/>
                <w:b/>
                <w:szCs w:val="21"/>
              </w:rPr>
            </w:pPr>
            <w:r>
              <w:rPr>
                <w:rFonts w:hint="eastAsia" w:ascii="Times New Roman" w:hAnsi="Times New Roman"/>
                <w:b/>
                <w:szCs w:val="21"/>
              </w:rPr>
              <w:t>属于优先采购清单的类别</w:t>
            </w:r>
          </w:p>
        </w:tc>
        <w:tc>
          <w:tcPr>
            <w:tcW w:w="720" w:type="dxa"/>
            <w:vMerge w:val="restart"/>
            <w:vAlign w:val="center"/>
          </w:tcPr>
          <w:p w14:paraId="242E3133">
            <w:pPr>
              <w:keepNext w:val="0"/>
              <w:keepLines w:val="0"/>
              <w:pageBreakBefore w:val="0"/>
              <w:widowControl w:val="0"/>
              <w:kinsoku/>
              <w:wordWrap/>
              <w:overflowPunct/>
              <w:topLinePunct w:val="0"/>
              <w:autoSpaceDE/>
              <w:autoSpaceDN/>
              <w:bidi w:val="0"/>
              <w:jc w:val="center"/>
              <w:textAlignment w:val="auto"/>
              <w:rPr>
                <w:rFonts w:ascii="Times New Roman" w:hAnsi="Times New Roman"/>
                <w:b/>
                <w:szCs w:val="21"/>
              </w:rPr>
            </w:pPr>
            <w:r>
              <w:rPr>
                <w:rFonts w:hint="eastAsia" w:ascii="Times New Roman" w:hAnsi="Times New Roman"/>
                <w:b/>
                <w:szCs w:val="21"/>
              </w:rPr>
              <w:t>备注</w:t>
            </w:r>
          </w:p>
        </w:tc>
      </w:tr>
      <w:tr w14:paraId="7E1F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51EC1D4">
            <w:pPr>
              <w:keepNext w:val="0"/>
              <w:keepLines w:val="0"/>
              <w:pageBreakBefore w:val="0"/>
              <w:widowControl w:val="0"/>
              <w:kinsoku/>
              <w:wordWrap/>
              <w:overflowPunct/>
              <w:topLinePunct w:val="0"/>
              <w:autoSpaceDE/>
              <w:autoSpaceDN/>
              <w:bidi w:val="0"/>
              <w:textAlignment w:val="auto"/>
              <w:rPr>
                <w:rFonts w:ascii="Times New Roman" w:hAnsi="Times New Roman"/>
                <w:szCs w:val="21"/>
              </w:rPr>
            </w:pPr>
          </w:p>
        </w:tc>
        <w:tc>
          <w:tcPr>
            <w:tcW w:w="1213" w:type="dxa"/>
            <w:vMerge w:val="continue"/>
            <w:vAlign w:val="center"/>
          </w:tcPr>
          <w:p w14:paraId="04EE809F">
            <w:pPr>
              <w:keepNext w:val="0"/>
              <w:keepLines w:val="0"/>
              <w:pageBreakBefore w:val="0"/>
              <w:widowControl w:val="0"/>
              <w:kinsoku/>
              <w:wordWrap/>
              <w:overflowPunct/>
              <w:topLinePunct w:val="0"/>
              <w:autoSpaceDE/>
              <w:autoSpaceDN/>
              <w:bidi w:val="0"/>
              <w:textAlignment w:val="auto"/>
              <w:rPr>
                <w:rFonts w:ascii="Times New Roman" w:hAnsi="Times New Roman"/>
                <w:szCs w:val="21"/>
              </w:rPr>
            </w:pPr>
          </w:p>
        </w:tc>
        <w:tc>
          <w:tcPr>
            <w:tcW w:w="1840" w:type="dxa"/>
            <w:vMerge w:val="continue"/>
            <w:vAlign w:val="center"/>
          </w:tcPr>
          <w:p w14:paraId="109BF097">
            <w:pPr>
              <w:keepNext w:val="0"/>
              <w:keepLines w:val="0"/>
              <w:pageBreakBefore w:val="0"/>
              <w:widowControl w:val="0"/>
              <w:kinsoku/>
              <w:wordWrap/>
              <w:overflowPunct/>
              <w:topLinePunct w:val="0"/>
              <w:autoSpaceDE/>
              <w:autoSpaceDN/>
              <w:bidi w:val="0"/>
              <w:textAlignment w:val="auto"/>
              <w:rPr>
                <w:rFonts w:ascii="Times New Roman" w:hAnsi="Times New Roman"/>
                <w:szCs w:val="21"/>
              </w:rPr>
            </w:pPr>
          </w:p>
        </w:tc>
        <w:tc>
          <w:tcPr>
            <w:tcW w:w="818" w:type="dxa"/>
            <w:vAlign w:val="center"/>
          </w:tcPr>
          <w:p w14:paraId="6F2ACFE6">
            <w:pPr>
              <w:keepNext w:val="0"/>
              <w:keepLines w:val="0"/>
              <w:pageBreakBefore w:val="0"/>
              <w:widowControl w:val="0"/>
              <w:kinsoku/>
              <w:wordWrap/>
              <w:overflowPunct/>
              <w:topLinePunct w:val="0"/>
              <w:autoSpaceDE/>
              <w:autoSpaceDN/>
              <w:bidi w:val="0"/>
              <w:textAlignment w:val="auto"/>
              <w:rPr>
                <w:rFonts w:ascii="Times New Roman" w:hAnsi="Times New Roman"/>
                <w:szCs w:val="21"/>
              </w:rPr>
            </w:pPr>
            <w:r>
              <w:rPr>
                <w:rFonts w:hint="eastAsia" w:ascii="Times New Roman" w:hAnsi="Times New Roman"/>
                <w:szCs w:val="21"/>
              </w:rPr>
              <w:t>数量</w:t>
            </w:r>
          </w:p>
        </w:tc>
        <w:tc>
          <w:tcPr>
            <w:tcW w:w="1241" w:type="dxa"/>
            <w:vAlign w:val="center"/>
          </w:tcPr>
          <w:p w14:paraId="491A69A1">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r>
              <w:rPr>
                <w:rFonts w:hint="eastAsia" w:ascii="Times New Roman" w:hAnsi="Times New Roman"/>
                <w:szCs w:val="21"/>
              </w:rPr>
              <w:t>投标单价（元）</w:t>
            </w:r>
          </w:p>
        </w:tc>
        <w:tc>
          <w:tcPr>
            <w:tcW w:w="2292" w:type="dxa"/>
            <w:vAlign w:val="center"/>
          </w:tcPr>
          <w:p w14:paraId="49062507">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r>
              <w:rPr>
                <w:rFonts w:hint="eastAsia" w:ascii="Times New Roman" w:hAnsi="Times New Roman"/>
                <w:szCs w:val="21"/>
              </w:rPr>
              <w:t>投标</w:t>
            </w:r>
            <w:r>
              <w:rPr>
                <w:rFonts w:hint="eastAsia" w:ascii="宋体" w:hAnsi="宋体"/>
                <w:szCs w:val="21"/>
              </w:rPr>
              <w:t>合计</w:t>
            </w:r>
            <w:r>
              <w:rPr>
                <w:rFonts w:hint="eastAsia" w:ascii="Times New Roman" w:hAnsi="Times New Roman"/>
                <w:szCs w:val="21"/>
              </w:rPr>
              <w:t>报价（元）</w:t>
            </w:r>
          </w:p>
        </w:tc>
        <w:tc>
          <w:tcPr>
            <w:tcW w:w="1503" w:type="dxa"/>
            <w:vMerge w:val="continue"/>
            <w:vAlign w:val="center"/>
          </w:tcPr>
          <w:p w14:paraId="2307E469">
            <w:pPr>
              <w:keepNext w:val="0"/>
              <w:keepLines w:val="0"/>
              <w:pageBreakBefore w:val="0"/>
              <w:widowControl w:val="0"/>
              <w:kinsoku/>
              <w:wordWrap/>
              <w:overflowPunct/>
              <w:topLinePunct w:val="0"/>
              <w:autoSpaceDE/>
              <w:autoSpaceDN/>
              <w:bidi w:val="0"/>
              <w:textAlignment w:val="auto"/>
              <w:rPr>
                <w:rFonts w:ascii="Times New Roman" w:hAnsi="Times New Roman"/>
                <w:szCs w:val="21"/>
              </w:rPr>
            </w:pPr>
          </w:p>
        </w:tc>
        <w:tc>
          <w:tcPr>
            <w:tcW w:w="720" w:type="dxa"/>
            <w:vMerge w:val="continue"/>
            <w:vAlign w:val="center"/>
          </w:tcPr>
          <w:p w14:paraId="044DDACE">
            <w:pPr>
              <w:keepNext w:val="0"/>
              <w:keepLines w:val="0"/>
              <w:pageBreakBefore w:val="0"/>
              <w:widowControl w:val="0"/>
              <w:kinsoku/>
              <w:wordWrap/>
              <w:overflowPunct/>
              <w:topLinePunct w:val="0"/>
              <w:autoSpaceDE/>
              <w:autoSpaceDN/>
              <w:bidi w:val="0"/>
              <w:textAlignment w:val="auto"/>
              <w:rPr>
                <w:rFonts w:ascii="Times New Roman" w:hAnsi="Times New Roman"/>
                <w:szCs w:val="21"/>
              </w:rPr>
            </w:pPr>
          </w:p>
        </w:tc>
      </w:tr>
      <w:tr w14:paraId="5892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16059133">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1</w:t>
            </w:r>
          </w:p>
        </w:tc>
        <w:tc>
          <w:tcPr>
            <w:tcW w:w="1213" w:type="dxa"/>
            <w:vAlign w:val="center"/>
          </w:tcPr>
          <w:p w14:paraId="7A37351B">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1840" w:type="dxa"/>
            <w:vAlign w:val="center"/>
          </w:tcPr>
          <w:p w14:paraId="4005D27F">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818" w:type="dxa"/>
            <w:vAlign w:val="center"/>
          </w:tcPr>
          <w:p w14:paraId="688DF69A">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1241" w:type="dxa"/>
            <w:vAlign w:val="center"/>
          </w:tcPr>
          <w:p w14:paraId="3762CE5B">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2292" w:type="dxa"/>
            <w:vAlign w:val="center"/>
          </w:tcPr>
          <w:p w14:paraId="121237B5">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1503" w:type="dxa"/>
            <w:vAlign w:val="center"/>
          </w:tcPr>
          <w:p w14:paraId="1DD3D0F5">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720" w:type="dxa"/>
            <w:vAlign w:val="center"/>
          </w:tcPr>
          <w:p w14:paraId="5A256247">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r>
      <w:tr w14:paraId="39E6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246DE3C">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2</w:t>
            </w:r>
          </w:p>
        </w:tc>
        <w:tc>
          <w:tcPr>
            <w:tcW w:w="1213" w:type="dxa"/>
            <w:vAlign w:val="center"/>
          </w:tcPr>
          <w:p w14:paraId="354C9F3C">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1840" w:type="dxa"/>
            <w:vAlign w:val="center"/>
          </w:tcPr>
          <w:p w14:paraId="13D16F35">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818" w:type="dxa"/>
            <w:vAlign w:val="center"/>
          </w:tcPr>
          <w:p w14:paraId="7A3CAAED">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1241" w:type="dxa"/>
            <w:vAlign w:val="center"/>
          </w:tcPr>
          <w:p w14:paraId="7D412F32">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2292" w:type="dxa"/>
            <w:vAlign w:val="center"/>
          </w:tcPr>
          <w:p w14:paraId="325B8691">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1503" w:type="dxa"/>
            <w:vAlign w:val="center"/>
          </w:tcPr>
          <w:p w14:paraId="7A5FABD8">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c>
          <w:tcPr>
            <w:tcW w:w="720" w:type="dxa"/>
            <w:vAlign w:val="center"/>
          </w:tcPr>
          <w:p w14:paraId="3918558A">
            <w:pPr>
              <w:keepNext w:val="0"/>
              <w:keepLines w:val="0"/>
              <w:pageBreakBefore w:val="0"/>
              <w:widowControl w:val="0"/>
              <w:kinsoku/>
              <w:wordWrap/>
              <w:overflowPunct/>
              <w:topLinePunct w:val="0"/>
              <w:autoSpaceDE/>
              <w:autoSpaceDN/>
              <w:bidi w:val="0"/>
              <w:jc w:val="center"/>
              <w:textAlignment w:val="auto"/>
              <w:rPr>
                <w:rFonts w:ascii="Times New Roman" w:hAnsi="Times New Roman"/>
                <w:szCs w:val="21"/>
              </w:rPr>
            </w:pPr>
          </w:p>
        </w:tc>
      </w:tr>
    </w:tbl>
    <w:p w14:paraId="2B27CBC9">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szCs w:val="21"/>
        </w:rPr>
      </w:pPr>
      <w:r>
        <w:rPr>
          <w:rFonts w:hint="eastAsia" w:ascii="Times New Roman" w:hAnsi="Times New Roman"/>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ascii="Times New Roman" w:hAnsi="Times New Roman"/>
          <w:szCs w:val="21"/>
        </w:rPr>
        <w:t>投标产品若不属于上述清单或目录范围内，则无需填写该表。</w:t>
      </w:r>
    </w:p>
    <w:p w14:paraId="28CF6201">
      <w:pPr>
        <w:keepNext w:val="0"/>
        <w:keepLines w:val="0"/>
        <w:pageBreakBefore w:val="0"/>
        <w:widowControl w:val="0"/>
        <w:kinsoku/>
        <w:wordWrap/>
        <w:overflowPunct/>
        <w:topLinePunct w:val="0"/>
        <w:autoSpaceDE/>
        <w:autoSpaceDN/>
        <w:bidi w:val="0"/>
        <w:spacing w:line="360" w:lineRule="auto"/>
        <w:textAlignment w:val="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3ABDC90">
      <w:pPr>
        <w:keepNext w:val="0"/>
        <w:keepLines w:val="0"/>
        <w:pageBreakBefore w:val="0"/>
        <w:widowControl w:val="0"/>
        <w:kinsoku/>
        <w:wordWrap/>
        <w:overflowPunct/>
        <w:topLinePunct w:val="0"/>
        <w:autoSpaceDE/>
        <w:autoSpaceDN/>
        <w:bidi w:val="0"/>
        <w:spacing w:line="360" w:lineRule="auto"/>
        <w:textAlignment w:val="auto"/>
      </w:pPr>
      <w:r>
        <w:rPr>
          <w:rFonts w:hint="eastAsia" w:ascii="宋体" w:hAnsi="宋体"/>
          <w:szCs w:val="21"/>
        </w:rPr>
        <w:t>3. “属于优先采购清单的类别”栏中填写“节能产品政府采购品目清单”或“环境标志产品政府采购品目清单”。</w:t>
      </w:r>
      <w:r>
        <w:br w:type="page"/>
      </w:r>
    </w:p>
    <w:p w14:paraId="31CD605B">
      <w:pPr>
        <w:keepNext w:val="0"/>
        <w:keepLines w:val="0"/>
        <w:pageBreakBefore w:val="0"/>
        <w:widowControl w:val="0"/>
        <w:kinsoku/>
        <w:wordWrap/>
        <w:overflowPunct/>
        <w:topLinePunct w:val="0"/>
        <w:autoSpaceDE/>
        <w:autoSpaceDN/>
        <w:bidi w:val="0"/>
        <w:textAlignment w:val="auto"/>
        <w:rPr>
          <w:rFonts w:ascii="仿宋_GB2312" w:eastAsia="仿宋_GB2312"/>
          <w:b/>
          <w:color w:val="FF0000"/>
          <w:sz w:val="30"/>
          <w:szCs w:val="30"/>
        </w:rPr>
      </w:pPr>
      <w:r>
        <w:rPr>
          <w:rFonts w:hint="eastAsia" w:ascii="仿宋_GB2312" w:eastAsia="仿宋_GB2312"/>
          <w:b/>
          <w:color w:val="FF0000"/>
          <w:sz w:val="30"/>
          <w:szCs w:val="30"/>
        </w:rPr>
        <w:t>投标文件附件（信息不公开部分）：</w:t>
      </w:r>
    </w:p>
    <w:p w14:paraId="5A4C6EB0">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kern w:val="0"/>
          <w:sz w:val="24"/>
          <w:szCs w:val="32"/>
        </w:rPr>
      </w:pPr>
      <w:r>
        <w:rPr>
          <w:rFonts w:hint="eastAsia" w:ascii="黑体" w:hAnsi="宋体" w:eastAsia="黑体"/>
          <w:bCs/>
          <w:kern w:val="0"/>
          <w:sz w:val="24"/>
          <w:szCs w:val="32"/>
        </w:rPr>
        <w:t>五、政府采购违法行为风险知悉确认书</w:t>
      </w:r>
    </w:p>
    <w:p w14:paraId="778D1B5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6A5D2EA0">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ascii="宋体" w:hAnsi="宋体"/>
          <w:b/>
          <w:szCs w:val="21"/>
        </w:rPr>
      </w:pPr>
      <w:r>
        <w:rPr>
          <w:rFonts w:hint="eastAsia" w:ascii="宋体" w:hAnsi="宋体"/>
          <w:b/>
          <w:szCs w:val="21"/>
        </w:rPr>
        <w:t>一、本公司已充分知悉“隐瞒真实情况，提供虚假资料”的法定情形，相关情形包括但不限于：</w:t>
      </w:r>
    </w:p>
    <w:p w14:paraId="334EA95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（一）通过转让或者租借等方式从其他单位获取资格或者资质证书投标的。</w:t>
      </w:r>
    </w:p>
    <w:p w14:paraId="1073BAC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（二）由其他单位或者其他单位负责人在投标供应商编制的投标文件上加盖印章或者签字的。</w:t>
      </w:r>
    </w:p>
    <w:p w14:paraId="53B19F5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（三）项目负责人或者主要技术人员不是本单位人员的。</w:t>
      </w:r>
    </w:p>
    <w:p w14:paraId="2E6F749A">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（四）投标保证金不是从投标供应商基本账户转出的。</w:t>
      </w:r>
    </w:p>
    <w:p w14:paraId="30BECEF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（五）其他隐瞒真实情况、提供虚假资料的行为。</w:t>
      </w:r>
    </w:p>
    <w:p w14:paraId="5BDE9CF8">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ascii="宋体" w:hAnsi="宋体"/>
          <w:b/>
          <w:szCs w:val="21"/>
        </w:rPr>
      </w:pPr>
      <w:r>
        <w:rPr>
          <w:rFonts w:hint="eastAsia" w:ascii="宋体" w:hAnsi="宋体"/>
          <w:b/>
          <w:szCs w:val="21"/>
        </w:rPr>
        <w:t>二、本公司已充分知悉“与其他采购参加人串通投标”的法定情形，相关情形包括但不限于：</w:t>
      </w:r>
    </w:p>
    <w:p w14:paraId="1F4F23F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（一）投标供应商之间相互约定给予未中标的供应商利益补偿。</w:t>
      </w:r>
    </w:p>
    <w:p w14:paraId="0BB254C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19870EA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（三）不同投标供应商的投标文件由同一单位或者同一人编制，或者由同一人分阶段参与编制的。</w:t>
      </w:r>
    </w:p>
    <w:p w14:paraId="4B2CC94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（四）不同投标供应商的投标文件或部分投标文件相互混装。</w:t>
      </w:r>
    </w:p>
    <w:p w14:paraId="331024B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（五）不同投标供应商的投标文件内容存在非正常一致。</w:t>
      </w:r>
    </w:p>
    <w:p w14:paraId="4753A2E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（六）由同一单位工作人员为两家以上（含两家）供应商进行同一项投标活动的。</w:t>
      </w:r>
    </w:p>
    <w:p w14:paraId="641FA786">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（七）不同投标人的投标报价呈规律性差异。</w:t>
      </w:r>
    </w:p>
    <w:p w14:paraId="42AA663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（八）不同投标人的投标保证金从同一单位或者个人的账户转出。</w:t>
      </w:r>
    </w:p>
    <w:p w14:paraId="5DB490A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（九）主管部门依照法律、法规认定的其他情形。</w:t>
      </w:r>
    </w:p>
    <w:p w14:paraId="1E27CFFB">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3AC76A1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76EEEBEE">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50385E8D">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46231AC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1D48000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DCD4A6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094236B2">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F293C9E">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240BB0D9">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81AA84F">
      <w:pPr>
        <w:keepNext w:val="0"/>
        <w:keepLines w:val="0"/>
        <w:pageBreakBefore w:val="0"/>
        <w:widowControl w:val="0"/>
        <w:kinsoku/>
        <w:wordWrap/>
        <w:overflowPunct/>
        <w:topLinePunct w:val="0"/>
        <w:autoSpaceDE/>
        <w:autoSpaceDN/>
        <w:bidi w:val="0"/>
        <w:spacing w:line="360" w:lineRule="auto"/>
        <w:textAlignment w:val="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FBA9B3E">
      <w:pPr>
        <w:keepNext w:val="0"/>
        <w:keepLines w:val="0"/>
        <w:pageBreakBefore w:val="0"/>
        <w:widowControl w:val="0"/>
        <w:kinsoku/>
        <w:wordWrap/>
        <w:overflowPunct/>
        <w:topLinePunct w:val="0"/>
        <w:autoSpaceDE/>
        <w:autoSpaceDN/>
        <w:bidi w:val="0"/>
        <w:spacing w:line="360" w:lineRule="auto"/>
        <w:textAlignment w:val="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B360657">
      <w:pPr>
        <w:keepNext w:val="0"/>
        <w:keepLines w:val="0"/>
        <w:pageBreakBefore w:val="0"/>
        <w:widowControl w:val="0"/>
        <w:kinsoku/>
        <w:wordWrap/>
        <w:overflowPunct/>
        <w:topLinePunct w:val="0"/>
        <w:autoSpaceDE/>
        <w:autoSpaceDN/>
        <w:bidi w:val="0"/>
        <w:spacing w:line="360" w:lineRule="auto"/>
        <w:textAlignment w:val="auto"/>
        <w:rPr>
          <w:rFonts w:ascii="宋体" w:hAnsi="宋体"/>
          <w:szCs w:val="21"/>
          <w:u w:val="single"/>
        </w:rPr>
      </w:pPr>
    </w:p>
    <w:p w14:paraId="72D38B95">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50F6427F">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知悉人（公章）：</w:t>
      </w:r>
    </w:p>
    <w:p w14:paraId="3DF5C3E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r>
        <w:rPr>
          <w:rFonts w:hint="eastAsia" w:ascii="宋体" w:hAnsi="宋体"/>
          <w:szCs w:val="21"/>
        </w:rPr>
        <w:t>日期：</w:t>
      </w:r>
    </w:p>
    <w:p w14:paraId="228F2D0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szCs w:val="21"/>
        </w:rPr>
      </w:pPr>
    </w:p>
    <w:p w14:paraId="14C00354">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szCs w:val="21"/>
          <w:u w:val="single"/>
        </w:rPr>
        <w:t>（备注：如联合体投标，知悉人处仅需加盖牵头人的公章）</w:t>
      </w:r>
    </w:p>
    <w:p w14:paraId="3DD46649">
      <w:pPr>
        <w:keepNext w:val="0"/>
        <w:keepLines w:val="0"/>
        <w:pageBreakBefore w:val="0"/>
        <w:widowControl w:val="0"/>
        <w:kinsoku/>
        <w:wordWrap/>
        <w:overflowPunct/>
        <w:topLinePunct w:val="0"/>
        <w:autoSpaceDE/>
        <w:autoSpaceDN/>
        <w:bidi w:val="0"/>
        <w:textAlignment w:val="auto"/>
        <w:rPr>
          <w:rFonts w:ascii="仿宋_GB2312" w:eastAsia="仿宋_GB2312"/>
          <w:b/>
          <w:sz w:val="30"/>
          <w:szCs w:val="30"/>
        </w:rPr>
      </w:pPr>
    </w:p>
    <w:p w14:paraId="24FD56D6">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kern w:val="0"/>
          <w:sz w:val="24"/>
          <w:szCs w:val="32"/>
        </w:rPr>
      </w:pPr>
      <w:r>
        <w:rPr>
          <w:rFonts w:hint="eastAsia" w:ascii="黑体" w:hAnsi="宋体" w:eastAsia="黑体"/>
          <w:bCs/>
          <w:kern w:val="0"/>
          <w:sz w:val="24"/>
          <w:szCs w:val="32"/>
        </w:rPr>
        <w:t>六、法定代表人（负责人）资格证明书</w:t>
      </w:r>
    </w:p>
    <w:p w14:paraId="3228A135">
      <w:pPr>
        <w:keepNext w:val="0"/>
        <w:keepLines w:val="0"/>
        <w:pageBreakBefore w:val="0"/>
        <w:widowControl w:val="0"/>
        <w:kinsoku/>
        <w:wordWrap/>
        <w:overflowPunct/>
        <w:topLinePunct w:val="0"/>
        <w:autoSpaceDE/>
        <w:autoSpaceDN/>
        <w:bidi w:val="0"/>
        <w:textAlignment w:val="auto"/>
        <w:rPr>
          <w:rFonts w:ascii="Times New Roman" w:hAnsi="Times New Roman"/>
          <w:sz w:val="24"/>
          <w:szCs w:val="24"/>
        </w:rPr>
      </w:pPr>
    </w:p>
    <w:p w14:paraId="6DF6D4C8">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szCs w:val="21"/>
        </w:rPr>
      </w:pPr>
      <w:r>
        <w:rPr>
          <w:rFonts w:hint="eastAsia" w:ascii="Times New Roman" w:hAnsi="Times New Roman"/>
          <w:szCs w:val="21"/>
        </w:rPr>
        <w:t xml:space="preserve">   </w:t>
      </w:r>
      <w:r>
        <w:rPr>
          <w:rFonts w:hint="eastAsia" w:ascii="Times New Roman" w:hAnsi="Times New Roman"/>
          <w:szCs w:val="21"/>
          <w:u w:val="single"/>
        </w:rPr>
        <w:t xml:space="preserve">         </w:t>
      </w:r>
      <w:r>
        <w:rPr>
          <w:rFonts w:hint="eastAsia" w:ascii="Times New Roman" w:hAnsi="Times New Roman"/>
          <w:szCs w:val="21"/>
        </w:rPr>
        <w:t>同志，现任我单位</w:t>
      </w:r>
      <w:r>
        <w:rPr>
          <w:rFonts w:hint="eastAsia" w:ascii="Times New Roman" w:hAnsi="Times New Roman"/>
          <w:szCs w:val="21"/>
          <w:u w:val="single"/>
        </w:rPr>
        <w:t xml:space="preserve">         </w:t>
      </w:r>
      <w:r>
        <w:rPr>
          <w:rFonts w:hint="eastAsia" w:ascii="Times New Roman" w:hAnsi="Times New Roman"/>
          <w:szCs w:val="21"/>
        </w:rPr>
        <w:t>职务，为法定代表人</w:t>
      </w:r>
      <w:r>
        <w:rPr>
          <w:rFonts w:hint="eastAsia" w:ascii="黑体" w:hAnsi="Times New Roman" w:eastAsia="黑体"/>
          <w:b/>
          <w:kern w:val="0"/>
          <w:sz w:val="24"/>
          <w:szCs w:val="24"/>
        </w:rPr>
        <w:t>（负责人）</w:t>
      </w:r>
      <w:r>
        <w:rPr>
          <w:rFonts w:hint="eastAsia" w:ascii="Times New Roman" w:hAnsi="Times New Roman"/>
          <w:szCs w:val="21"/>
        </w:rPr>
        <w:t>，特此证明。</w:t>
      </w:r>
    </w:p>
    <w:p w14:paraId="1953284E">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szCs w:val="21"/>
        </w:rPr>
      </w:pPr>
      <w:r>
        <w:rPr>
          <w:rFonts w:hint="eastAsia" w:ascii="Times New Roman" w:hAnsi="Times New Roman"/>
          <w:szCs w:val="21"/>
        </w:rPr>
        <w:t>说明：1、法定代表人为企业事业单位、国家机关、社会团体的主要负责人。</w:t>
      </w:r>
    </w:p>
    <w:p w14:paraId="6A311A90">
      <w:pPr>
        <w:keepNext w:val="0"/>
        <w:keepLines w:val="0"/>
        <w:pageBreakBefore w:val="0"/>
        <w:widowControl w:val="0"/>
        <w:kinsoku/>
        <w:wordWrap/>
        <w:overflowPunct/>
        <w:topLinePunct w:val="0"/>
        <w:autoSpaceDE/>
        <w:autoSpaceDN/>
        <w:bidi w:val="0"/>
        <w:textAlignment w:val="auto"/>
        <w:rPr>
          <w:rFonts w:ascii="Times New Roman" w:hAnsi="Times New Roman"/>
          <w:szCs w:val="21"/>
        </w:rPr>
      </w:pPr>
      <w:r>
        <w:rPr>
          <w:rFonts w:hint="eastAsia" w:ascii="Times New Roman" w:hAnsi="Times New Roman"/>
          <w:szCs w:val="21"/>
        </w:rPr>
        <w:t xml:space="preserve">      2、内容必须填写真实、清楚，涂改无效，不得转让、买卖。</w:t>
      </w:r>
    </w:p>
    <w:p w14:paraId="736239C4">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szCs w:val="21"/>
        </w:rPr>
      </w:pPr>
    </w:p>
    <w:p w14:paraId="3FC624DB">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sz w:val="24"/>
          <w:szCs w:val="24"/>
        </w:rPr>
      </w:pPr>
      <w:r>
        <w:rPr>
          <w:rFonts w:hint="eastAsia" w:ascii="Times New Roman" w:hAnsi="Times New Roman"/>
          <w:b/>
          <w:sz w:val="24"/>
          <w:szCs w:val="24"/>
        </w:rPr>
        <w:t>附：要求必须提供法定代表人（负责人）身份证扫描件（正反两面）。</w:t>
      </w:r>
    </w:p>
    <w:p w14:paraId="7CD4E134">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sz w:val="24"/>
          <w:szCs w:val="24"/>
        </w:rPr>
      </w:pPr>
    </w:p>
    <w:p w14:paraId="6FD90234">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szCs w:val="21"/>
          <w:u w:val="single"/>
        </w:rPr>
        <w:t>（备注：如联合体投标，单位一栏仅需填写牵头人的名称）</w:t>
      </w:r>
    </w:p>
    <w:p w14:paraId="2AD40417">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sz w:val="24"/>
          <w:szCs w:val="24"/>
        </w:rPr>
      </w:pPr>
    </w:p>
    <w:p w14:paraId="103DC134">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sz w:val="24"/>
          <w:szCs w:val="24"/>
        </w:rPr>
      </w:pPr>
      <w:r>
        <w:rPr>
          <w:rFonts w:ascii="宋体" w:hAnsi="宋体"/>
          <w:b/>
          <w:bCs/>
          <w:sz w:val="28"/>
          <w:szCs w:val="32"/>
        </w:rPr>
        <w:tab/>
      </w:r>
      <w:r>
        <w:rPr>
          <w:rFonts w:hint="eastAsia" w:ascii="黑体" w:hAnsi="宋体" w:eastAsia="黑体"/>
          <w:bCs/>
          <w:kern w:val="0"/>
          <w:sz w:val="24"/>
          <w:szCs w:val="24"/>
        </w:rPr>
        <w:t>七、投标文件签署授权委托书</w:t>
      </w:r>
    </w:p>
    <w:p w14:paraId="15E453C8">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Times New Roman" w:hAnsi="Times New Roman"/>
          <w:szCs w:val="21"/>
        </w:rPr>
      </w:pPr>
      <w:r>
        <w:rPr>
          <w:rFonts w:hint="eastAsia" w:ascii="Times New Roman" w:hAnsi="Times New Roman"/>
          <w:szCs w:val="21"/>
        </w:rPr>
        <w:t>本授权委托书声明：我</w:t>
      </w:r>
      <w:r>
        <w:rPr>
          <w:rFonts w:hint="eastAsia" w:ascii="Times New Roman" w:hAnsi="Times New Roman"/>
          <w:szCs w:val="21"/>
          <w:u w:val="single"/>
        </w:rPr>
        <w:t xml:space="preserve">           </w:t>
      </w:r>
      <w:r>
        <w:rPr>
          <w:rFonts w:hint="eastAsia" w:ascii="Times New Roman" w:hAnsi="Times New Roman"/>
          <w:szCs w:val="21"/>
        </w:rPr>
        <w:t>（姓名）系</w:t>
      </w:r>
      <w:r>
        <w:rPr>
          <w:rFonts w:hint="eastAsia" w:ascii="Times New Roman" w:hAnsi="Times New Roman"/>
          <w:szCs w:val="21"/>
          <w:u w:val="single"/>
        </w:rPr>
        <w:t xml:space="preserve">             </w:t>
      </w:r>
      <w:r>
        <w:rPr>
          <w:rFonts w:hint="eastAsia" w:ascii="Times New Roman" w:hAnsi="Times New Roman"/>
          <w:szCs w:val="21"/>
        </w:rPr>
        <w:t>（投标供应商名称）的法定代表人</w:t>
      </w:r>
      <w:r>
        <w:rPr>
          <w:rFonts w:hint="eastAsia" w:ascii="黑体" w:hAnsi="Times New Roman" w:eastAsia="黑体"/>
          <w:b/>
          <w:kern w:val="0"/>
          <w:sz w:val="24"/>
          <w:szCs w:val="24"/>
        </w:rPr>
        <w:t>（负责人）</w:t>
      </w:r>
      <w:r>
        <w:rPr>
          <w:rFonts w:hint="eastAsia" w:ascii="Times New Roman" w:hAnsi="Times New Roman"/>
          <w:szCs w:val="21"/>
        </w:rPr>
        <w:t>，现授权委托</w:t>
      </w:r>
      <w:r>
        <w:rPr>
          <w:rFonts w:hint="eastAsia" w:ascii="Times New Roman" w:hAnsi="Times New Roman"/>
          <w:szCs w:val="21"/>
          <w:u w:val="single"/>
        </w:rPr>
        <w:t xml:space="preserve">            </w:t>
      </w:r>
      <w:r>
        <w:rPr>
          <w:rFonts w:hint="eastAsia" w:ascii="Times New Roman" w:hAnsi="Times New Roman"/>
          <w:szCs w:val="21"/>
        </w:rPr>
        <w:t>（姓名）为我公司签署本项目已递交的投标文件的法定代表人的授权委托代理人，代理人全权代表我所签署的本项目已递交的投标文件内容我均承认。</w:t>
      </w:r>
    </w:p>
    <w:p w14:paraId="220051BD">
      <w:pPr>
        <w:keepNext w:val="0"/>
        <w:keepLines w:val="0"/>
        <w:pageBreakBefore w:val="0"/>
        <w:widowControl w:val="0"/>
        <w:kinsoku/>
        <w:wordWrap/>
        <w:overflowPunct/>
        <w:topLinePunct w:val="0"/>
        <w:autoSpaceDE/>
        <w:autoSpaceDN/>
        <w:bidi w:val="0"/>
        <w:spacing w:line="360" w:lineRule="auto"/>
        <w:ind w:firstLine="420"/>
        <w:textAlignment w:val="auto"/>
        <w:rPr>
          <w:rFonts w:ascii="Times New Roman" w:hAnsi="Times New Roman"/>
          <w:szCs w:val="21"/>
        </w:rPr>
      </w:pPr>
      <w:r>
        <w:rPr>
          <w:rFonts w:hint="eastAsia" w:ascii="Times New Roman" w:hAnsi="Times New Roman"/>
          <w:szCs w:val="21"/>
        </w:rPr>
        <w:t>代理人无转委托权，特此委托。</w:t>
      </w:r>
    </w:p>
    <w:p w14:paraId="35410782">
      <w:pPr>
        <w:keepNext w:val="0"/>
        <w:keepLines w:val="0"/>
        <w:pageBreakBefore w:val="0"/>
        <w:widowControl w:val="0"/>
        <w:kinsoku/>
        <w:wordWrap/>
        <w:overflowPunct/>
        <w:topLinePunct w:val="0"/>
        <w:autoSpaceDE/>
        <w:autoSpaceDN/>
        <w:bidi w:val="0"/>
        <w:spacing w:line="360" w:lineRule="auto"/>
        <w:ind w:firstLine="420"/>
        <w:textAlignment w:val="auto"/>
        <w:rPr>
          <w:rFonts w:ascii="Times New Roman" w:hAnsi="Times New Roman"/>
          <w:szCs w:val="21"/>
        </w:rPr>
      </w:pPr>
    </w:p>
    <w:p w14:paraId="1DB5149C">
      <w:pPr>
        <w:keepNext w:val="0"/>
        <w:keepLines w:val="0"/>
        <w:pageBreakBefore w:val="0"/>
        <w:widowControl w:val="0"/>
        <w:kinsoku/>
        <w:wordWrap/>
        <w:overflowPunct/>
        <w:topLinePunct w:val="0"/>
        <w:autoSpaceDE/>
        <w:autoSpaceDN/>
        <w:bidi w:val="0"/>
        <w:spacing w:line="360" w:lineRule="auto"/>
        <w:ind w:left="540" w:leftChars="257"/>
        <w:textAlignment w:val="auto"/>
        <w:rPr>
          <w:rFonts w:ascii="Times New Roman" w:hAnsi="Times New Roman"/>
          <w:szCs w:val="21"/>
          <w:u w:val="single"/>
        </w:rPr>
      </w:pPr>
      <w:r>
        <w:rPr>
          <w:rFonts w:hint="eastAsia" w:ascii="Times New Roman" w:hAnsi="Times New Roman"/>
          <w:szCs w:val="21"/>
        </w:rPr>
        <w:t>代理人：</w:t>
      </w:r>
      <w:r>
        <w:rPr>
          <w:rFonts w:hint="eastAsia" w:ascii="Times New Roman" w:hAnsi="Times New Roman"/>
          <w:szCs w:val="21"/>
          <w:u w:val="single"/>
        </w:rPr>
        <w:t xml:space="preserve">             </w:t>
      </w:r>
    </w:p>
    <w:p w14:paraId="40CCE138">
      <w:pPr>
        <w:keepNext w:val="0"/>
        <w:keepLines w:val="0"/>
        <w:pageBreakBefore w:val="0"/>
        <w:widowControl w:val="0"/>
        <w:kinsoku/>
        <w:wordWrap/>
        <w:overflowPunct/>
        <w:topLinePunct w:val="0"/>
        <w:autoSpaceDE/>
        <w:autoSpaceDN/>
        <w:bidi w:val="0"/>
        <w:spacing w:line="360" w:lineRule="auto"/>
        <w:ind w:left="540" w:leftChars="257"/>
        <w:textAlignment w:val="auto"/>
        <w:rPr>
          <w:rFonts w:ascii="Times New Roman" w:hAnsi="Times New Roman"/>
          <w:szCs w:val="21"/>
        </w:rPr>
      </w:pPr>
      <w:r>
        <w:rPr>
          <w:rFonts w:hint="eastAsia" w:ascii="Times New Roman" w:hAnsi="Times New Roman"/>
          <w:szCs w:val="21"/>
        </w:rPr>
        <w:t>联系电话：</w:t>
      </w:r>
      <w:r>
        <w:rPr>
          <w:rFonts w:hint="eastAsia" w:ascii="Times New Roman" w:hAnsi="Times New Roman"/>
          <w:szCs w:val="21"/>
          <w:u w:val="single"/>
        </w:rPr>
        <w:t xml:space="preserve">            </w:t>
      </w:r>
      <w:r>
        <w:rPr>
          <w:rFonts w:hint="eastAsia" w:ascii="Times New Roman" w:hAnsi="Times New Roman"/>
          <w:szCs w:val="21"/>
        </w:rPr>
        <w:t xml:space="preserve">  手机：</w:t>
      </w:r>
      <w:r>
        <w:rPr>
          <w:rFonts w:hint="eastAsia" w:ascii="Times New Roman" w:hAnsi="Times New Roman"/>
          <w:szCs w:val="21"/>
          <w:u w:val="single"/>
        </w:rPr>
        <w:t xml:space="preserve">                   </w:t>
      </w:r>
    </w:p>
    <w:p w14:paraId="4AB02AE2">
      <w:pPr>
        <w:keepNext w:val="0"/>
        <w:keepLines w:val="0"/>
        <w:pageBreakBefore w:val="0"/>
        <w:widowControl w:val="0"/>
        <w:kinsoku/>
        <w:wordWrap/>
        <w:overflowPunct/>
        <w:topLinePunct w:val="0"/>
        <w:autoSpaceDE/>
        <w:autoSpaceDN/>
        <w:bidi w:val="0"/>
        <w:spacing w:line="360" w:lineRule="auto"/>
        <w:ind w:left="540" w:leftChars="257"/>
        <w:textAlignment w:val="auto"/>
        <w:rPr>
          <w:rFonts w:ascii="Times New Roman" w:hAnsi="Times New Roman"/>
          <w:szCs w:val="21"/>
          <w:u w:val="single"/>
        </w:rPr>
      </w:pPr>
      <w:r>
        <w:rPr>
          <w:rFonts w:hint="eastAsia" w:ascii="Times New Roman" w:hAnsi="Times New Roman"/>
          <w:szCs w:val="21"/>
        </w:rPr>
        <w:t>身份证号码：</w:t>
      </w:r>
      <w:r>
        <w:rPr>
          <w:rFonts w:hint="eastAsia" w:ascii="Times New Roman" w:hAnsi="Times New Roman"/>
          <w:szCs w:val="21"/>
          <w:u w:val="single"/>
        </w:rPr>
        <w:t xml:space="preserve">                        </w:t>
      </w:r>
      <w:r>
        <w:rPr>
          <w:rFonts w:hint="eastAsia" w:ascii="Times New Roman" w:hAnsi="Times New Roman"/>
          <w:szCs w:val="21"/>
        </w:rPr>
        <w:t>职务：</w:t>
      </w:r>
      <w:r>
        <w:rPr>
          <w:rFonts w:hint="eastAsia" w:ascii="Times New Roman" w:hAnsi="Times New Roman"/>
          <w:szCs w:val="21"/>
          <w:u w:val="single"/>
        </w:rPr>
        <w:t xml:space="preserve">       </w:t>
      </w:r>
    </w:p>
    <w:p w14:paraId="7383DCBC">
      <w:pPr>
        <w:keepNext w:val="0"/>
        <w:keepLines w:val="0"/>
        <w:pageBreakBefore w:val="0"/>
        <w:widowControl w:val="0"/>
        <w:kinsoku/>
        <w:wordWrap/>
        <w:overflowPunct/>
        <w:topLinePunct w:val="0"/>
        <w:autoSpaceDE/>
        <w:autoSpaceDN/>
        <w:bidi w:val="0"/>
        <w:spacing w:line="360" w:lineRule="auto"/>
        <w:ind w:left="540" w:leftChars="257"/>
        <w:textAlignment w:val="auto"/>
        <w:rPr>
          <w:rFonts w:ascii="Times New Roman" w:hAnsi="Times New Roman"/>
          <w:szCs w:val="21"/>
        </w:rPr>
      </w:pPr>
      <w:r>
        <w:rPr>
          <w:rFonts w:hint="eastAsia" w:ascii="Times New Roman" w:hAnsi="Times New Roman"/>
          <w:szCs w:val="21"/>
        </w:rPr>
        <w:t>授权委托日期：</w:t>
      </w:r>
      <w:r>
        <w:rPr>
          <w:rFonts w:hint="eastAsia" w:ascii="Times New Roman" w:hAnsi="Times New Roman"/>
          <w:szCs w:val="21"/>
          <w:u w:val="single"/>
        </w:rPr>
        <w:t xml:space="preserve">         </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rPr>
        <w:t xml:space="preserve">月 </w:t>
      </w:r>
      <w:r>
        <w:rPr>
          <w:rFonts w:hint="eastAsia" w:ascii="Times New Roman" w:hAnsi="Times New Roman"/>
          <w:szCs w:val="21"/>
          <w:u w:val="single"/>
        </w:rPr>
        <w:t xml:space="preserve">      </w:t>
      </w:r>
      <w:r>
        <w:rPr>
          <w:rFonts w:hint="eastAsia" w:ascii="Times New Roman" w:hAnsi="Times New Roman"/>
          <w:szCs w:val="21"/>
        </w:rPr>
        <w:t>日</w:t>
      </w:r>
    </w:p>
    <w:p w14:paraId="0747C60A">
      <w:pPr>
        <w:keepNext w:val="0"/>
        <w:keepLines w:val="0"/>
        <w:pageBreakBefore w:val="0"/>
        <w:widowControl w:val="0"/>
        <w:kinsoku/>
        <w:wordWrap/>
        <w:overflowPunct/>
        <w:topLinePunct w:val="0"/>
        <w:autoSpaceDE/>
        <w:autoSpaceDN/>
        <w:bidi w:val="0"/>
        <w:spacing w:line="360" w:lineRule="auto"/>
        <w:ind w:left="540" w:leftChars="257"/>
        <w:textAlignment w:val="auto"/>
        <w:rPr>
          <w:rFonts w:ascii="Times New Roman" w:hAnsi="Times New Roman"/>
          <w:szCs w:val="21"/>
          <w:u w:val="single"/>
        </w:rPr>
      </w:pPr>
    </w:p>
    <w:p w14:paraId="2BE4003C">
      <w:pPr>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b/>
          <w:sz w:val="24"/>
          <w:szCs w:val="24"/>
        </w:rPr>
      </w:pPr>
      <w:r>
        <w:rPr>
          <w:rFonts w:hint="eastAsia" w:ascii="Times New Roman" w:hAnsi="Times New Roman"/>
          <w:b/>
          <w:sz w:val="24"/>
          <w:szCs w:val="24"/>
        </w:rPr>
        <w:t>附：要求必须提供代理人身份证扫描件（正反两面）。</w:t>
      </w:r>
    </w:p>
    <w:p w14:paraId="3C5DEFB9">
      <w:pPr>
        <w:keepNext w:val="0"/>
        <w:keepLines w:val="0"/>
        <w:pageBreakBefore w:val="0"/>
        <w:widowControl w:val="0"/>
        <w:kinsoku/>
        <w:wordWrap/>
        <w:overflowPunct/>
        <w:topLinePunct w:val="0"/>
        <w:autoSpaceDE/>
        <w:autoSpaceDN/>
        <w:bidi w:val="0"/>
        <w:textAlignment w:val="auto"/>
        <w:rPr>
          <w:szCs w:val="21"/>
          <w:u w:val="single"/>
        </w:rPr>
      </w:pPr>
    </w:p>
    <w:p w14:paraId="5115AADF">
      <w:pPr>
        <w:keepNext w:val="0"/>
        <w:keepLines w:val="0"/>
        <w:pageBreakBefore w:val="0"/>
        <w:widowControl w:val="0"/>
        <w:kinsoku/>
        <w:wordWrap/>
        <w:overflowPunct/>
        <w:topLinePunct w:val="0"/>
        <w:autoSpaceDE/>
        <w:autoSpaceDN/>
        <w:bidi w:val="0"/>
        <w:textAlignment w:val="auto"/>
        <w:rPr>
          <w:rFonts w:ascii="宋体" w:hAnsi="宋体"/>
          <w:szCs w:val="21"/>
        </w:rPr>
      </w:pPr>
      <w:r>
        <w:rPr>
          <w:rFonts w:hint="eastAsia"/>
          <w:szCs w:val="21"/>
          <w:u w:val="single"/>
        </w:rPr>
        <w:t>（备注：如联合体投标，投标供应商名称一栏仅需填写牵头人的名称）</w:t>
      </w:r>
    </w:p>
    <w:p w14:paraId="547D9071">
      <w:pPr>
        <w:keepNext w:val="0"/>
        <w:keepLines w:val="0"/>
        <w:pageBreakBefore w:val="0"/>
        <w:widowControl w:val="0"/>
        <w:kinsoku/>
        <w:wordWrap/>
        <w:overflowPunct/>
        <w:topLinePunct w:val="0"/>
        <w:autoSpaceDE/>
        <w:autoSpaceDN/>
        <w:bidi w:val="0"/>
        <w:spacing w:line="360" w:lineRule="auto"/>
        <w:textAlignment w:val="auto"/>
        <w:rPr>
          <w:rFonts w:ascii="黑体" w:eastAsia="黑体"/>
          <w:b/>
          <w:sz w:val="24"/>
        </w:rPr>
      </w:pPr>
    </w:p>
    <w:p w14:paraId="020CEBAC">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kern w:val="0"/>
          <w:sz w:val="24"/>
          <w:szCs w:val="24"/>
        </w:rPr>
      </w:pPr>
      <w:r>
        <w:rPr>
          <w:rFonts w:hint="eastAsia" w:ascii="黑体" w:hAnsi="宋体" w:eastAsia="黑体"/>
          <w:bCs/>
          <w:kern w:val="0"/>
          <w:sz w:val="24"/>
          <w:szCs w:val="24"/>
        </w:rPr>
        <w:t>八、实质性条款响应情况表</w:t>
      </w:r>
    </w:p>
    <w:tbl>
      <w:tblPr>
        <w:tblStyle w:val="4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178"/>
        <w:gridCol w:w="1297"/>
      </w:tblGrid>
      <w:tr w14:paraId="3DC5F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197DB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序号</w:t>
            </w:r>
          </w:p>
        </w:tc>
        <w:tc>
          <w:tcPr>
            <w:tcW w:w="7178" w:type="dxa"/>
          </w:tcPr>
          <w:p w14:paraId="596685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采购人要求内容</w:t>
            </w:r>
          </w:p>
        </w:tc>
        <w:tc>
          <w:tcPr>
            <w:tcW w:w="1297" w:type="dxa"/>
          </w:tcPr>
          <w:p w14:paraId="5778253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kern w:val="0"/>
                <w:szCs w:val="21"/>
              </w:rPr>
            </w:pPr>
            <w:r>
              <w:rPr>
                <w:rFonts w:hint="eastAsia" w:ascii="宋体" w:hAnsi="宋体"/>
                <w:kern w:val="0"/>
                <w:szCs w:val="21"/>
              </w:rPr>
              <w:t>投标人响应情况</w:t>
            </w:r>
          </w:p>
        </w:tc>
      </w:tr>
      <w:tr w14:paraId="2E41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F7E7B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kern w:val="0"/>
                <w:szCs w:val="21"/>
              </w:rPr>
            </w:pPr>
            <w:r>
              <w:rPr>
                <w:rFonts w:hint="eastAsia" w:ascii="宋体" w:hAnsi="宋体"/>
                <w:kern w:val="0"/>
                <w:szCs w:val="21"/>
              </w:rPr>
              <w:t>1</w:t>
            </w:r>
          </w:p>
        </w:tc>
        <w:tc>
          <w:tcPr>
            <w:tcW w:w="7178" w:type="dxa"/>
            <w:vAlign w:val="center"/>
          </w:tcPr>
          <w:p w14:paraId="1A95931F">
            <w:pPr>
              <w:adjustRightInd w:val="0"/>
              <w:snapToGrid w:val="0"/>
              <w:spacing w:line="360" w:lineRule="auto"/>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服务期限：</w:t>
            </w:r>
          </w:p>
          <w:p w14:paraId="51A9FBAF">
            <w:pPr>
              <w:adjustRightInd w:val="0"/>
              <w:snapToGrid w:val="0"/>
              <w:spacing w:line="360" w:lineRule="auto"/>
              <w:jc w:val="left"/>
              <w:rPr>
                <w:rFonts w:ascii="Times New Roman" w:hAnsi="宋体"/>
                <w:kern w:val="0"/>
                <w:szCs w:val="21"/>
              </w:rPr>
            </w:pPr>
            <w:r>
              <w:rPr>
                <w:rFonts w:hint="eastAsia" w:ascii="宋体" w:hAnsi="宋体" w:eastAsia="宋体" w:cs="宋体"/>
                <w:kern w:val="0"/>
                <w:szCs w:val="21"/>
                <w:lang w:eastAsia="zh-CN"/>
              </w:rPr>
              <w:t>自合同签订之日起至</w:t>
            </w:r>
            <w:r>
              <w:rPr>
                <w:rFonts w:hint="eastAsia" w:ascii="宋体" w:hAnsi="宋体" w:eastAsia="宋体" w:cs="宋体"/>
                <w:kern w:val="0"/>
                <w:szCs w:val="21"/>
                <w:lang w:val="en-US" w:eastAsia="zh-CN"/>
              </w:rPr>
              <w:t>2025年12月31日。</w:t>
            </w:r>
            <w:r>
              <w:rPr>
                <w:rFonts w:hint="eastAsia" w:ascii="宋体" w:hAnsi="宋体" w:eastAsia="宋体" w:cs="宋体"/>
                <w:kern w:val="0"/>
                <w:szCs w:val="21"/>
                <w:lang w:eastAsia="zh-CN"/>
              </w:rPr>
              <w:t>本项目为长期服务类项目，经</w:t>
            </w:r>
            <w:r>
              <w:rPr>
                <w:rFonts w:hint="eastAsia" w:ascii="宋体" w:hAnsi="宋体" w:eastAsia="宋体" w:cs="宋体"/>
                <w:kern w:val="0"/>
                <w:szCs w:val="21"/>
                <w:lang w:val="en-US" w:eastAsia="zh-CN"/>
              </w:rPr>
              <w:t>采购人</w:t>
            </w:r>
            <w:r>
              <w:rPr>
                <w:rFonts w:hint="eastAsia" w:ascii="宋体" w:hAnsi="宋体" w:eastAsia="宋体" w:cs="宋体"/>
                <w:kern w:val="0"/>
                <w:szCs w:val="21"/>
                <w:lang w:eastAsia="zh-CN"/>
              </w:rPr>
              <w:t>进行履约评价为优的可视情况决定是否续签，续签合同一年一签，最多可续签两次，合同最长期限不超过36个月，续签合同金额及实质性内容不得改变。</w:t>
            </w:r>
          </w:p>
        </w:tc>
        <w:tc>
          <w:tcPr>
            <w:tcW w:w="1297" w:type="dxa"/>
          </w:tcPr>
          <w:p w14:paraId="67C6C8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kern w:val="0"/>
                <w:szCs w:val="21"/>
              </w:rPr>
            </w:pPr>
          </w:p>
        </w:tc>
      </w:tr>
      <w:tr w14:paraId="1717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548A1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kern w:val="0"/>
                <w:szCs w:val="21"/>
              </w:rPr>
            </w:pPr>
            <w:r>
              <w:rPr>
                <w:rFonts w:hint="eastAsia" w:ascii="宋体" w:hAnsi="宋体"/>
                <w:kern w:val="0"/>
                <w:szCs w:val="21"/>
              </w:rPr>
              <w:t>2</w:t>
            </w:r>
          </w:p>
        </w:tc>
        <w:tc>
          <w:tcPr>
            <w:tcW w:w="7178" w:type="dxa"/>
            <w:vAlign w:val="center"/>
          </w:tcPr>
          <w:p w14:paraId="6CF4BA45">
            <w:pPr>
              <w:adjustRightInd w:val="0"/>
              <w:snapToGrid w:val="0"/>
              <w:spacing w:line="360" w:lineRule="auto"/>
              <w:jc w:val="left"/>
              <w:rPr>
                <w:rFonts w:ascii="Times New Roman" w:hAnsi="宋体"/>
                <w:kern w:val="0"/>
                <w:szCs w:val="21"/>
              </w:rPr>
            </w:pPr>
            <w:r>
              <w:rPr>
                <w:rFonts w:hint="eastAsia" w:ascii="宋体" w:hAnsi="宋体" w:eastAsia="宋体" w:cs="宋体"/>
                <w:b w:val="0"/>
                <w:bCs w:val="0"/>
                <w:szCs w:val="21"/>
                <w:lang w:eastAsia="zh-CN"/>
              </w:rPr>
              <w:t>投标供应商须提供法定代表人（单位负责人）和项目投标授权代表人在开标日前近一个月载有社保部门或税务部门公章的个人社保缴纳查询记录（不限定缴纳单位）；因社保部门或税务部门原因近一个月的社保证明暂时无法提供的，可往前顺延一个月；无社保缴纳记录或无法提供社保证明的需提供情况说明并承诺与其他投标供应商之间不存在法定代表人（单位负责人）、项目投标授权代表人为同一人、属同一单位或者在同一单位缴纳社保的情况（格式自拟）。未按要求提供相关材料或投标供应商之间存在法定代表人（单位负责人）、项目投标授权代表人为同一人、属同一单位或者在同一单位缴纳社保的，按投标无效处理。</w:t>
            </w:r>
          </w:p>
        </w:tc>
        <w:tc>
          <w:tcPr>
            <w:tcW w:w="1297" w:type="dxa"/>
          </w:tcPr>
          <w:p w14:paraId="1F2138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kern w:val="0"/>
                <w:szCs w:val="21"/>
              </w:rPr>
            </w:pPr>
          </w:p>
        </w:tc>
      </w:tr>
    </w:tbl>
    <w:p w14:paraId="3F6019EF">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kern w:val="0"/>
          <w:szCs w:val="21"/>
        </w:rPr>
        <w:t>采购人要求内容</w:t>
      </w:r>
      <w:r>
        <w:rPr>
          <w:rFonts w:hint="eastAsia" w:asciiTheme="minorEastAsia" w:hAnsiTheme="minorEastAsia" w:eastAsiaTheme="minorEastAsia"/>
          <w:bCs/>
          <w:kern w:val="0"/>
          <w:szCs w:val="21"/>
        </w:rPr>
        <w:t>”为</w:t>
      </w:r>
      <w:r>
        <w:rPr>
          <w:rFonts w:hint="eastAsia" w:asciiTheme="minorEastAsia" w:hAnsiTheme="minorEastAsia" w:eastAsiaTheme="minorEastAsia"/>
          <w:b/>
          <w:bCs/>
          <w:kern w:val="0"/>
          <w:szCs w:val="21"/>
          <w:highlight w:val="yellow"/>
        </w:rPr>
        <w:t>“第一册  专用条款/第二章  招标项目需求”</w:t>
      </w:r>
      <w:r>
        <w:rPr>
          <w:rFonts w:hint="eastAsia" w:asciiTheme="minorEastAsia" w:hAnsiTheme="minorEastAsia" w:eastAsiaTheme="minorEastAsia"/>
          <w:bCs/>
          <w:kern w:val="0"/>
          <w:szCs w:val="21"/>
        </w:rPr>
        <w:t>中的不可负偏离的实质性条款，即“实质性条款”。</w:t>
      </w:r>
    </w:p>
    <w:p w14:paraId="5EFF77D1">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2.“投标人响应情况”一栏应如实填写“响应”或“不响应”。</w:t>
      </w:r>
    </w:p>
    <w:p w14:paraId="3E4A0951">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3.“实质性条款响应情况表”与投标文件其它内容冲突的，以“实质性条款响应情况表”为准。</w:t>
      </w:r>
    </w:p>
    <w:p w14:paraId="754F9F61">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highlight w:val="yellow"/>
        </w:rPr>
      </w:pPr>
      <w:r>
        <w:rPr>
          <w:rFonts w:hint="eastAsia" w:asciiTheme="minorEastAsia" w:hAnsiTheme="minorEastAsia" w:eastAsiaTheme="minorEastAsia"/>
          <w:bCs/>
          <w:kern w:val="0"/>
          <w:szCs w:val="21"/>
          <w:highlight w:val="yellow"/>
        </w:rPr>
        <w:t>4.“</w:t>
      </w:r>
      <w:r>
        <w:rPr>
          <w:rFonts w:hint="eastAsia" w:ascii="宋体" w:hAnsi="宋体"/>
          <w:kern w:val="0"/>
          <w:szCs w:val="21"/>
          <w:highlight w:val="yellow"/>
        </w:rPr>
        <w:t>采购人要求内容</w:t>
      </w:r>
      <w:r>
        <w:rPr>
          <w:rFonts w:hint="eastAsia" w:asciiTheme="minorEastAsia" w:hAnsiTheme="minorEastAsia" w:eastAsiaTheme="minorEastAsia"/>
          <w:bCs/>
          <w:kern w:val="0"/>
          <w:szCs w:val="21"/>
          <w:highlight w:val="yellow"/>
        </w:rPr>
        <w:t>”中涉及提供证明材料的，应附在本表后，未提供证明材料或证明材料与响应情况不相符的，按负偏离处理。</w:t>
      </w:r>
    </w:p>
    <w:p w14:paraId="4EC6FA9E">
      <w:pPr>
        <w:keepNext w:val="0"/>
        <w:keepLines w:val="0"/>
        <w:pageBreakBefore w:val="0"/>
        <w:widowControl w:val="0"/>
        <w:kinsoku/>
        <w:wordWrap/>
        <w:overflowPunct/>
        <w:topLinePunct w:val="0"/>
        <w:autoSpaceDE/>
        <w:autoSpaceDN/>
        <w:bidi w:val="0"/>
        <w:spacing w:before="260" w:after="260"/>
        <w:jc w:val="center"/>
        <w:textAlignment w:val="auto"/>
        <w:outlineLvl w:val="2"/>
        <w:rPr>
          <w:rFonts w:ascii="黑体" w:hAnsi="宋体" w:eastAsia="黑体"/>
          <w:bCs/>
          <w:kern w:val="0"/>
          <w:sz w:val="24"/>
          <w:szCs w:val="24"/>
        </w:rPr>
      </w:pPr>
      <w:r>
        <w:rPr>
          <w:rFonts w:hint="eastAsia" w:ascii="黑体" w:hAnsi="宋体" w:eastAsia="黑体"/>
          <w:bCs/>
          <w:kern w:val="0"/>
          <w:sz w:val="24"/>
          <w:szCs w:val="24"/>
        </w:rPr>
        <w:t>九、详细分项报价清单</w:t>
      </w:r>
    </w:p>
    <w:tbl>
      <w:tblPr>
        <w:tblStyle w:val="4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3167"/>
        <w:gridCol w:w="1041"/>
        <w:gridCol w:w="1041"/>
        <w:gridCol w:w="1889"/>
      </w:tblGrid>
      <w:tr w14:paraId="37918D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top w:val="double" w:color="auto" w:sz="4" w:space="0"/>
              <w:left w:val="double" w:color="auto" w:sz="4" w:space="0"/>
            </w:tcBorders>
            <w:shd w:val="clear" w:color="auto" w:fill="C6D9F0" w:themeFill="text2" w:themeFillTint="33"/>
            <w:vAlign w:val="center"/>
          </w:tcPr>
          <w:p w14:paraId="1BC6BAE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rPr>
            </w:pPr>
            <w:r>
              <w:rPr>
                <w:rFonts w:hint="eastAsia" w:ascii="宋体" w:hAnsi="宋体" w:eastAsia="宋体" w:cs="宋体"/>
                <w:b/>
              </w:rPr>
              <w:t>序号</w:t>
            </w:r>
          </w:p>
        </w:tc>
        <w:tc>
          <w:tcPr>
            <w:tcW w:w="3167" w:type="dxa"/>
            <w:tcBorders>
              <w:top w:val="double" w:color="auto" w:sz="4" w:space="0"/>
            </w:tcBorders>
            <w:shd w:val="clear" w:color="auto" w:fill="C6D9F0" w:themeFill="text2" w:themeFillTint="33"/>
            <w:vAlign w:val="center"/>
          </w:tcPr>
          <w:p w14:paraId="4BC29EF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lang w:val="en-US" w:eastAsia="zh-CN"/>
              </w:rPr>
            </w:pPr>
            <w:r>
              <w:rPr>
                <w:rFonts w:hint="eastAsia" w:ascii="宋体" w:hAnsi="宋体" w:eastAsia="宋体" w:cs="宋体"/>
                <w:b/>
                <w:lang w:val="en-US" w:eastAsia="zh-CN"/>
              </w:rPr>
              <w:t>服务内容</w:t>
            </w:r>
          </w:p>
        </w:tc>
        <w:tc>
          <w:tcPr>
            <w:tcW w:w="1041" w:type="dxa"/>
            <w:tcBorders>
              <w:top w:val="double" w:color="auto" w:sz="4" w:space="0"/>
            </w:tcBorders>
            <w:shd w:val="clear" w:color="auto" w:fill="C6D9F0" w:themeFill="text2" w:themeFillTint="33"/>
            <w:vAlign w:val="center"/>
          </w:tcPr>
          <w:p w14:paraId="4FC0227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rPr>
            </w:pPr>
            <w:r>
              <w:rPr>
                <w:rFonts w:hint="eastAsia" w:ascii="宋体" w:hAnsi="宋体" w:eastAsia="宋体" w:cs="宋体"/>
                <w:b/>
              </w:rPr>
              <w:t>数量</w:t>
            </w:r>
          </w:p>
        </w:tc>
        <w:tc>
          <w:tcPr>
            <w:tcW w:w="1041" w:type="dxa"/>
            <w:tcBorders>
              <w:top w:val="double" w:color="auto" w:sz="4" w:space="0"/>
            </w:tcBorders>
            <w:shd w:val="clear" w:color="auto" w:fill="C6D9F0" w:themeFill="text2" w:themeFillTint="33"/>
            <w:vAlign w:val="center"/>
          </w:tcPr>
          <w:p w14:paraId="4F0233C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rPr>
            </w:pPr>
            <w:r>
              <w:rPr>
                <w:rFonts w:hint="eastAsia" w:ascii="宋体" w:hAnsi="宋体" w:eastAsia="宋体" w:cs="宋体"/>
                <w:b/>
              </w:rPr>
              <w:t>单位</w:t>
            </w:r>
          </w:p>
        </w:tc>
        <w:tc>
          <w:tcPr>
            <w:tcW w:w="1889" w:type="dxa"/>
            <w:tcBorders>
              <w:top w:val="double" w:color="auto" w:sz="4" w:space="0"/>
              <w:right w:val="double" w:color="auto" w:sz="4" w:space="0"/>
            </w:tcBorders>
            <w:shd w:val="clear" w:color="auto" w:fill="C6D9F0" w:themeFill="text2" w:themeFillTint="33"/>
            <w:vAlign w:val="center"/>
          </w:tcPr>
          <w:p w14:paraId="1243BCB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lang w:val="en-US" w:eastAsia="zh-CN"/>
              </w:rPr>
            </w:pPr>
            <w:r>
              <w:rPr>
                <w:rFonts w:hint="eastAsia" w:ascii="宋体" w:hAnsi="宋体" w:cs="宋体"/>
                <w:b/>
                <w:lang w:val="en-US" w:eastAsia="zh-CN"/>
              </w:rPr>
              <w:t>报价</w:t>
            </w:r>
            <w:r>
              <w:rPr>
                <w:rFonts w:hint="eastAsia" w:ascii="宋体" w:hAnsi="宋体" w:eastAsia="宋体" w:cs="宋体"/>
                <w:b/>
                <w:lang w:val="en-US" w:eastAsia="zh-CN"/>
              </w:rPr>
              <w:t>（人民币元）</w:t>
            </w:r>
          </w:p>
        </w:tc>
      </w:tr>
      <w:tr w14:paraId="131105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14:paraId="7074A46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rPr>
              <w:t>1</w:t>
            </w:r>
          </w:p>
        </w:tc>
        <w:tc>
          <w:tcPr>
            <w:tcW w:w="3167" w:type="dxa"/>
            <w:vAlign w:val="center"/>
          </w:tcPr>
          <w:p w14:paraId="082AC14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网络安全制度修编与落实</w:t>
            </w:r>
          </w:p>
        </w:tc>
        <w:tc>
          <w:tcPr>
            <w:tcW w:w="1041" w:type="dxa"/>
            <w:vAlign w:val="center"/>
          </w:tcPr>
          <w:p w14:paraId="60CD76E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rPr>
              <w:t>1</w:t>
            </w:r>
          </w:p>
        </w:tc>
        <w:tc>
          <w:tcPr>
            <w:tcW w:w="1041" w:type="dxa"/>
            <w:vAlign w:val="center"/>
          </w:tcPr>
          <w:p w14:paraId="1DFA27F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eastAsia="zh-CN"/>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29E64DC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36AAD2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14:paraId="509B2A6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rPr>
              <w:t>2</w:t>
            </w:r>
          </w:p>
        </w:tc>
        <w:tc>
          <w:tcPr>
            <w:tcW w:w="3167" w:type="dxa"/>
            <w:vAlign w:val="center"/>
          </w:tcPr>
          <w:p w14:paraId="66EC53C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信息系统等级保护顾问咨询</w:t>
            </w:r>
          </w:p>
        </w:tc>
        <w:tc>
          <w:tcPr>
            <w:tcW w:w="1041" w:type="dxa"/>
            <w:vAlign w:val="center"/>
          </w:tcPr>
          <w:p w14:paraId="3D0598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rPr>
              <w:t>1</w:t>
            </w:r>
          </w:p>
        </w:tc>
        <w:tc>
          <w:tcPr>
            <w:tcW w:w="1041" w:type="dxa"/>
            <w:vAlign w:val="center"/>
          </w:tcPr>
          <w:p w14:paraId="3B2A91B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08BA0B3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092853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tcBorders>
            <w:vAlign w:val="center"/>
          </w:tcPr>
          <w:p w14:paraId="79E100A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rPr>
              <w:t>3</w:t>
            </w:r>
          </w:p>
        </w:tc>
        <w:tc>
          <w:tcPr>
            <w:tcW w:w="3167" w:type="dxa"/>
            <w:vAlign w:val="center"/>
          </w:tcPr>
          <w:p w14:paraId="0D8E39D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风险评估服务</w:t>
            </w:r>
          </w:p>
        </w:tc>
        <w:tc>
          <w:tcPr>
            <w:tcW w:w="1041" w:type="dxa"/>
            <w:vAlign w:val="center"/>
          </w:tcPr>
          <w:p w14:paraId="0C2AAE1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eastAsia="zh-CN"/>
              </w:rPr>
            </w:pPr>
            <w:r>
              <w:rPr>
                <w:rFonts w:hint="eastAsia" w:ascii="宋体" w:hAnsi="宋体" w:eastAsia="宋体" w:cs="宋体"/>
                <w:bCs/>
                <w:szCs w:val="21"/>
                <w:lang w:val="en-US" w:eastAsia="zh-CN"/>
              </w:rPr>
              <w:t>1</w:t>
            </w:r>
          </w:p>
        </w:tc>
        <w:tc>
          <w:tcPr>
            <w:tcW w:w="1041" w:type="dxa"/>
            <w:vAlign w:val="center"/>
          </w:tcPr>
          <w:p w14:paraId="625EC1C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0377D99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74D567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1F5A9A9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eastAsia="zh-CN"/>
              </w:rPr>
            </w:pPr>
            <w:r>
              <w:rPr>
                <w:rFonts w:hint="eastAsia" w:ascii="宋体" w:hAnsi="宋体" w:eastAsia="宋体" w:cs="宋体"/>
                <w:lang w:val="en-US" w:eastAsia="zh-CN"/>
              </w:rPr>
              <w:t>4</w:t>
            </w:r>
          </w:p>
        </w:tc>
        <w:tc>
          <w:tcPr>
            <w:tcW w:w="3167" w:type="dxa"/>
            <w:tcBorders>
              <w:bottom w:val="single" w:color="000000" w:themeColor="text1" w:sz="4" w:space="0"/>
            </w:tcBorders>
            <w:vAlign w:val="center"/>
          </w:tcPr>
          <w:p w14:paraId="6412987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网络安全应急预案修编及常态化攻防演练</w:t>
            </w:r>
          </w:p>
        </w:tc>
        <w:tc>
          <w:tcPr>
            <w:tcW w:w="1041" w:type="dxa"/>
            <w:vAlign w:val="center"/>
          </w:tcPr>
          <w:p w14:paraId="6B927DF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rPr>
              <w:t>1</w:t>
            </w:r>
          </w:p>
        </w:tc>
        <w:tc>
          <w:tcPr>
            <w:tcW w:w="1041" w:type="dxa"/>
            <w:vAlign w:val="center"/>
          </w:tcPr>
          <w:p w14:paraId="51FBCFA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6A3512C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7B7EC2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6966F7B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5</w:t>
            </w:r>
          </w:p>
        </w:tc>
        <w:tc>
          <w:tcPr>
            <w:tcW w:w="3167" w:type="dxa"/>
            <w:tcBorders>
              <w:bottom w:val="single" w:color="000000" w:themeColor="text1" w:sz="4" w:space="0"/>
            </w:tcBorders>
            <w:vAlign w:val="center"/>
          </w:tcPr>
          <w:p w14:paraId="17F8BAF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安全防护措施落实</w:t>
            </w:r>
          </w:p>
        </w:tc>
        <w:tc>
          <w:tcPr>
            <w:tcW w:w="1041" w:type="dxa"/>
            <w:vAlign w:val="center"/>
          </w:tcPr>
          <w:p w14:paraId="4265017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rPr>
              <w:t>1</w:t>
            </w:r>
          </w:p>
        </w:tc>
        <w:tc>
          <w:tcPr>
            <w:tcW w:w="1041" w:type="dxa"/>
            <w:vAlign w:val="center"/>
          </w:tcPr>
          <w:p w14:paraId="15BC74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30E8B3B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258B68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4EBDF53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3167" w:type="dxa"/>
            <w:tcBorders>
              <w:bottom w:val="single" w:color="000000" w:themeColor="text1" w:sz="4" w:space="0"/>
            </w:tcBorders>
            <w:vAlign w:val="center"/>
          </w:tcPr>
          <w:p w14:paraId="75D5EC6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安全隐患排查及整改</w:t>
            </w:r>
          </w:p>
        </w:tc>
        <w:tc>
          <w:tcPr>
            <w:tcW w:w="1041" w:type="dxa"/>
            <w:vAlign w:val="center"/>
          </w:tcPr>
          <w:p w14:paraId="233CFC9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lang w:eastAsia="zh-CN"/>
              </w:rPr>
            </w:pPr>
            <w:r>
              <w:rPr>
                <w:rFonts w:hint="eastAsia" w:ascii="宋体" w:hAnsi="宋体" w:eastAsia="宋体" w:cs="宋体"/>
                <w:bCs/>
                <w:szCs w:val="21"/>
                <w:lang w:val="en-US" w:eastAsia="zh-CN"/>
              </w:rPr>
              <w:t>1</w:t>
            </w:r>
          </w:p>
        </w:tc>
        <w:tc>
          <w:tcPr>
            <w:tcW w:w="1041" w:type="dxa"/>
            <w:vAlign w:val="center"/>
          </w:tcPr>
          <w:p w14:paraId="06BD67C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69886B5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79DC82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60CD85B4">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7</w:t>
            </w:r>
          </w:p>
        </w:tc>
        <w:tc>
          <w:tcPr>
            <w:tcW w:w="3167" w:type="dxa"/>
            <w:tcBorders>
              <w:bottom w:val="single" w:color="000000" w:themeColor="text1" w:sz="4" w:space="0"/>
            </w:tcBorders>
            <w:vAlign w:val="center"/>
          </w:tcPr>
          <w:p w14:paraId="70C5AC6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网站云安全检测</w:t>
            </w:r>
          </w:p>
        </w:tc>
        <w:tc>
          <w:tcPr>
            <w:tcW w:w="1041" w:type="dxa"/>
            <w:vAlign w:val="center"/>
          </w:tcPr>
          <w:p w14:paraId="284E845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78F185D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2DA7D81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2DF5CF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1A8FC4A1">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8</w:t>
            </w:r>
          </w:p>
        </w:tc>
        <w:tc>
          <w:tcPr>
            <w:tcW w:w="3167" w:type="dxa"/>
            <w:tcBorders>
              <w:bottom w:val="single" w:color="000000" w:themeColor="text1" w:sz="4" w:space="0"/>
            </w:tcBorders>
            <w:vAlign w:val="center"/>
          </w:tcPr>
          <w:p w14:paraId="64A8FA7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网站安全检测</w:t>
            </w:r>
          </w:p>
        </w:tc>
        <w:tc>
          <w:tcPr>
            <w:tcW w:w="1041" w:type="dxa"/>
            <w:vAlign w:val="center"/>
          </w:tcPr>
          <w:p w14:paraId="2C6F795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595654B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060F7F5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372E7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37848EBF">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9</w:t>
            </w:r>
          </w:p>
        </w:tc>
        <w:tc>
          <w:tcPr>
            <w:tcW w:w="3167" w:type="dxa"/>
            <w:tcBorders>
              <w:bottom w:val="single" w:color="000000" w:themeColor="text1" w:sz="4" w:space="0"/>
            </w:tcBorders>
            <w:vAlign w:val="center"/>
          </w:tcPr>
          <w:p w14:paraId="1BB8CC2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安全渗透测试</w:t>
            </w:r>
          </w:p>
        </w:tc>
        <w:tc>
          <w:tcPr>
            <w:tcW w:w="1041" w:type="dxa"/>
            <w:vAlign w:val="center"/>
          </w:tcPr>
          <w:p w14:paraId="34EA55C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47217C6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60B1520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4D5F2F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655052AD">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10</w:t>
            </w:r>
          </w:p>
        </w:tc>
        <w:tc>
          <w:tcPr>
            <w:tcW w:w="3167" w:type="dxa"/>
            <w:tcBorders>
              <w:bottom w:val="single" w:color="000000" w:themeColor="text1" w:sz="4" w:space="0"/>
            </w:tcBorders>
            <w:vAlign w:val="center"/>
          </w:tcPr>
          <w:p w14:paraId="2894A69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终端安全检查</w:t>
            </w:r>
          </w:p>
        </w:tc>
        <w:tc>
          <w:tcPr>
            <w:tcW w:w="1041" w:type="dxa"/>
            <w:vAlign w:val="center"/>
          </w:tcPr>
          <w:p w14:paraId="6A191F1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12EB6D4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02767E6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755EC3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51BF84FC">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11</w:t>
            </w:r>
          </w:p>
        </w:tc>
        <w:tc>
          <w:tcPr>
            <w:tcW w:w="3167" w:type="dxa"/>
            <w:tcBorders>
              <w:bottom w:val="single" w:color="000000" w:themeColor="text1" w:sz="4" w:space="0"/>
            </w:tcBorders>
            <w:vAlign w:val="center"/>
          </w:tcPr>
          <w:p w14:paraId="013F633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移动应用安全检测</w:t>
            </w:r>
          </w:p>
        </w:tc>
        <w:tc>
          <w:tcPr>
            <w:tcW w:w="1041" w:type="dxa"/>
            <w:vAlign w:val="center"/>
          </w:tcPr>
          <w:p w14:paraId="6AEAB8A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42997AD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55D861C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0A6669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54AE5996">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12</w:t>
            </w:r>
          </w:p>
        </w:tc>
        <w:tc>
          <w:tcPr>
            <w:tcW w:w="3167" w:type="dxa"/>
            <w:tcBorders>
              <w:bottom w:val="single" w:color="000000" w:themeColor="text1" w:sz="4" w:space="0"/>
            </w:tcBorders>
            <w:vAlign w:val="center"/>
          </w:tcPr>
          <w:p w14:paraId="281E587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移动APP安全加固</w:t>
            </w:r>
          </w:p>
        </w:tc>
        <w:tc>
          <w:tcPr>
            <w:tcW w:w="1041" w:type="dxa"/>
            <w:vAlign w:val="center"/>
          </w:tcPr>
          <w:p w14:paraId="7C03CAC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7928F7AE">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4415E9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4AD76C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289AB677">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13</w:t>
            </w:r>
          </w:p>
        </w:tc>
        <w:tc>
          <w:tcPr>
            <w:tcW w:w="3167" w:type="dxa"/>
            <w:tcBorders>
              <w:bottom w:val="single" w:color="000000" w:themeColor="text1" w:sz="4" w:space="0"/>
            </w:tcBorders>
            <w:vAlign w:val="center"/>
          </w:tcPr>
          <w:p w14:paraId="7C9030C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网络安全通报</w:t>
            </w:r>
          </w:p>
        </w:tc>
        <w:tc>
          <w:tcPr>
            <w:tcW w:w="1041" w:type="dxa"/>
            <w:vAlign w:val="center"/>
          </w:tcPr>
          <w:p w14:paraId="6729AD2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217B643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46AFAF47">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6F5F1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0E9A4BA0">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14</w:t>
            </w:r>
          </w:p>
        </w:tc>
        <w:tc>
          <w:tcPr>
            <w:tcW w:w="3167" w:type="dxa"/>
            <w:tcBorders>
              <w:bottom w:val="single" w:color="000000" w:themeColor="text1" w:sz="4" w:space="0"/>
            </w:tcBorders>
            <w:vAlign w:val="center"/>
          </w:tcPr>
          <w:p w14:paraId="3F9E950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网络安全指导</w:t>
            </w:r>
          </w:p>
        </w:tc>
        <w:tc>
          <w:tcPr>
            <w:tcW w:w="1041" w:type="dxa"/>
            <w:vAlign w:val="center"/>
          </w:tcPr>
          <w:p w14:paraId="596FEB4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005A829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0B329525">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27877B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0A5EEA1E">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15</w:t>
            </w:r>
          </w:p>
        </w:tc>
        <w:tc>
          <w:tcPr>
            <w:tcW w:w="3167" w:type="dxa"/>
            <w:tcBorders>
              <w:bottom w:val="single" w:color="000000" w:themeColor="text1" w:sz="4" w:space="0"/>
            </w:tcBorders>
            <w:vAlign w:val="center"/>
          </w:tcPr>
          <w:p w14:paraId="39C43C4B">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网络安全联合检查</w:t>
            </w:r>
          </w:p>
        </w:tc>
        <w:tc>
          <w:tcPr>
            <w:tcW w:w="1041" w:type="dxa"/>
            <w:vAlign w:val="center"/>
          </w:tcPr>
          <w:p w14:paraId="2C26C5F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6033272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69EFD03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0BF7E9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275D1D84">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16</w:t>
            </w:r>
          </w:p>
        </w:tc>
        <w:tc>
          <w:tcPr>
            <w:tcW w:w="3167" w:type="dxa"/>
            <w:tcBorders>
              <w:bottom w:val="single" w:color="000000" w:themeColor="text1" w:sz="4" w:space="0"/>
            </w:tcBorders>
            <w:vAlign w:val="center"/>
          </w:tcPr>
          <w:p w14:paraId="0718F46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网络安全绩效评估</w:t>
            </w:r>
          </w:p>
        </w:tc>
        <w:tc>
          <w:tcPr>
            <w:tcW w:w="1041" w:type="dxa"/>
            <w:vAlign w:val="center"/>
          </w:tcPr>
          <w:p w14:paraId="6C0F13A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1BF9C9A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23DAC26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73024F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5E9A499C">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17</w:t>
            </w:r>
          </w:p>
        </w:tc>
        <w:tc>
          <w:tcPr>
            <w:tcW w:w="3167" w:type="dxa"/>
            <w:tcBorders>
              <w:bottom w:val="single" w:color="000000" w:themeColor="text1" w:sz="4" w:space="0"/>
            </w:tcBorders>
            <w:vAlign w:val="center"/>
          </w:tcPr>
          <w:p w14:paraId="17491F4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网络安全应急响应服务</w:t>
            </w:r>
          </w:p>
        </w:tc>
        <w:tc>
          <w:tcPr>
            <w:tcW w:w="1041" w:type="dxa"/>
            <w:vAlign w:val="center"/>
          </w:tcPr>
          <w:p w14:paraId="49CE95D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3D04480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27EA836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7FF381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65820022">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18</w:t>
            </w:r>
          </w:p>
        </w:tc>
        <w:tc>
          <w:tcPr>
            <w:tcW w:w="3167" w:type="dxa"/>
            <w:tcBorders>
              <w:bottom w:val="single" w:color="000000" w:themeColor="text1" w:sz="4" w:space="0"/>
            </w:tcBorders>
            <w:vAlign w:val="center"/>
          </w:tcPr>
          <w:p w14:paraId="023738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驻点安全服务工作</w:t>
            </w:r>
          </w:p>
        </w:tc>
        <w:tc>
          <w:tcPr>
            <w:tcW w:w="1041" w:type="dxa"/>
            <w:vAlign w:val="center"/>
          </w:tcPr>
          <w:p w14:paraId="7861C7F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4413808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4D30C33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784C35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7DE29634">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19</w:t>
            </w:r>
          </w:p>
        </w:tc>
        <w:tc>
          <w:tcPr>
            <w:tcW w:w="3167" w:type="dxa"/>
            <w:tcBorders>
              <w:bottom w:val="single" w:color="000000" w:themeColor="text1" w:sz="4" w:space="0"/>
            </w:tcBorders>
            <w:vAlign w:val="center"/>
          </w:tcPr>
          <w:p w14:paraId="4ED7393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直属事业单位网络安全检查服务</w:t>
            </w:r>
          </w:p>
        </w:tc>
        <w:tc>
          <w:tcPr>
            <w:tcW w:w="1041" w:type="dxa"/>
            <w:vAlign w:val="center"/>
          </w:tcPr>
          <w:p w14:paraId="25B4A6B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5AAAD83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60D00C5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2402E6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01294504">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20</w:t>
            </w:r>
          </w:p>
        </w:tc>
        <w:tc>
          <w:tcPr>
            <w:tcW w:w="3167" w:type="dxa"/>
            <w:tcBorders>
              <w:bottom w:val="single" w:color="000000" w:themeColor="text1" w:sz="4" w:space="0"/>
            </w:tcBorders>
            <w:vAlign w:val="center"/>
          </w:tcPr>
          <w:p w14:paraId="5765B1F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完善数据分类分级制度</w:t>
            </w:r>
          </w:p>
        </w:tc>
        <w:tc>
          <w:tcPr>
            <w:tcW w:w="1041" w:type="dxa"/>
            <w:vAlign w:val="center"/>
          </w:tcPr>
          <w:p w14:paraId="728A1A2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42E2F51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69B07E9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1902E9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13254C09">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21</w:t>
            </w:r>
          </w:p>
        </w:tc>
        <w:tc>
          <w:tcPr>
            <w:tcW w:w="3167" w:type="dxa"/>
            <w:tcBorders>
              <w:bottom w:val="single" w:color="000000" w:themeColor="text1" w:sz="4" w:space="0"/>
            </w:tcBorders>
            <w:vAlign w:val="center"/>
          </w:tcPr>
          <w:p w14:paraId="0F56F3E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强化数据安全技术保护措施</w:t>
            </w:r>
          </w:p>
        </w:tc>
        <w:tc>
          <w:tcPr>
            <w:tcW w:w="1041" w:type="dxa"/>
            <w:vAlign w:val="center"/>
          </w:tcPr>
          <w:p w14:paraId="515A898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5BBB9F5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3FA1632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517E95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5DC88E36">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22</w:t>
            </w:r>
          </w:p>
        </w:tc>
        <w:tc>
          <w:tcPr>
            <w:tcW w:w="3167" w:type="dxa"/>
            <w:tcBorders>
              <w:bottom w:val="single" w:color="000000" w:themeColor="text1" w:sz="4" w:space="0"/>
            </w:tcBorders>
            <w:vAlign w:val="center"/>
          </w:tcPr>
          <w:p w14:paraId="4D85595A">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规范供应链安全管理</w:t>
            </w:r>
          </w:p>
        </w:tc>
        <w:tc>
          <w:tcPr>
            <w:tcW w:w="1041" w:type="dxa"/>
            <w:vAlign w:val="center"/>
          </w:tcPr>
          <w:p w14:paraId="33FAB31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65CAC38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7B4A254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2C493B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1CDC4A1D">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23</w:t>
            </w:r>
          </w:p>
        </w:tc>
        <w:tc>
          <w:tcPr>
            <w:tcW w:w="3167" w:type="dxa"/>
            <w:tcBorders>
              <w:bottom w:val="single" w:color="000000" w:themeColor="text1" w:sz="4" w:space="0"/>
            </w:tcBorders>
            <w:vAlign w:val="center"/>
          </w:tcPr>
          <w:p w14:paraId="603E871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加强开发运维管控</w:t>
            </w:r>
          </w:p>
        </w:tc>
        <w:tc>
          <w:tcPr>
            <w:tcW w:w="1041" w:type="dxa"/>
            <w:vAlign w:val="center"/>
          </w:tcPr>
          <w:p w14:paraId="58009538">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236E68D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1053C9B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201553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4C4D2A0C">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24</w:t>
            </w:r>
          </w:p>
        </w:tc>
        <w:tc>
          <w:tcPr>
            <w:tcW w:w="3167" w:type="dxa"/>
            <w:tcBorders>
              <w:bottom w:val="single" w:color="000000" w:themeColor="text1" w:sz="4" w:space="0"/>
            </w:tcBorders>
            <w:vAlign w:val="center"/>
          </w:tcPr>
          <w:p w14:paraId="622AA2B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重点时期保障</w:t>
            </w:r>
          </w:p>
        </w:tc>
        <w:tc>
          <w:tcPr>
            <w:tcW w:w="1041" w:type="dxa"/>
            <w:vAlign w:val="center"/>
          </w:tcPr>
          <w:p w14:paraId="4EA167C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3BAEDAD1">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437C1EC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269F02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5D66F78B">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25</w:t>
            </w:r>
          </w:p>
        </w:tc>
        <w:tc>
          <w:tcPr>
            <w:tcW w:w="3167" w:type="dxa"/>
            <w:tcBorders>
              <w:bottom w:val="single" w:color="000000" w:themeColor="text1" w:sz="4" w:space="0"/>
            </w:tcBorders>
            <w:vAlign w:val="center"/>
          </w:tcPr>
          <w:p w14:paraId="4AFA80F0">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网络威胁监测和分析</w:t>
            </w:r>
          </w:p>
        </w:tc>
        <w:tc>
          <w:tcPr>
            <w:tcW w:w="1041" w:type="dxa"/>
            <w:vAlign w:val="center"/>
          </w:tcPr>
          <w:p w14:paraId="47C65FC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66E6C5A4">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2019B082">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49D30D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tcBorders>
              <w:left w:val="double" w:color="auto" w:sz="4" w:space="0"/>
              <w:bottom w:val="single" w:color="000000" w:themeColor="text1" w:sz="4" w:space="0"/>
            </w:tcBorders>
            <w:vAlign w:val="center"/>
          </w:tcPr>
          <w:p w14:paraId="06EFCED5">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lang w:val="en-US" w:eastAsia="zh-CN"/>
              </w:rPr>
            </w:pPr>
            <w:r>
              <w:rPr>
                <w:rFonts w:hint="eastAsia" w:ascii="宋体" w:hAnsi="宋体" w:eastAsia="宋体" w:cs="宋体"/>
                <w:lang w:val="en-US" w:eastAsia="zh-CN"/>
              </w:rPr>
              <w:t>26</w:t>
            </w:r>
          </w:p>
        </w:tc>
        <w:tc>
          <w:tcPr>
            <w:tcW w:w="3167" w:type="dxa"/>
            <w:tcBorders>
              <w:bottom w:val="single" w:color="000000" w:themeColor="text1" w:sz="4" w:space="0"/>
            </w:tcBorders>
            <w:vAlign w:val="center"/>
          </w:tcPr>
          <w:p w14:paraId="3A5FF5C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sz w:val="21"/>
                <w:szCs w:val="21"/>
                <w:lang w:val="en-US" w:eastAsia="zh-CN"/>
              </w:rPr>
              <w:t>API接口安全监测</w:t>
            </w:r>
          </w:p>
        </w:tc>
        <w:tc>
          <w:tcPr>
            <w:tcW w:w="1041" w:type="dxa"/>
            <w:vAlign w:val="center"/>
          </w:tcPr>
          <w:p w14:paraId="156BB2ED">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1</w:t>
            </w:r>
          </w:p>
        </w:tc>
        <w:tc>
          <w:tcPr>
            <w:tcW w:w="1041" w:type="dxa"/>
            <w:vAlign w:val="center"/>
          </w:tcPr>
          <w:p w14:paraId="710C732F">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Cs/>
                <w:szCs w:val="21"/>
                <w:lang w:val="en-US" w:eastAsia="zh-CN"/>
              </w:rPr>
              <w:t>项</w:t>
            </w:r>
          </w:p>
        </w:tc>
        <w:tc>
          <w:tcPr>
            <w:tcW w:w="1889" w:type="dxa"/>
            <w:tcBorders>
              <w:right w:val="double" w:color="auto" w:sz="4" w:space="0"/>
            </w:tcBorders>
            <w:vAlign w:val="center"/>
          </w:tcPr>
          <w:p w14:paraId="51CC5D26">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r w14:paraId="216B6F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633" w:type="dxa"/>
            <w:gridSpan w:val="4"/>
            <w:tcBorders>
              <w:left w:val="double" w:color="auto" w:sz="4" w:space="0"/>
              <w:bottom w:val="double" w:color="auto" w:sz="4" w:space="0"/>
            </w:tcBorders>
            <w:shd w:val="clear" w:color="auto" w:fill="DDD9C4" w:themeFill="background2" w:themeFillShade="E6"/>
            <w:vAlign w:val="center"/>
          </w:tcPr>
          <w:p w14:paraId="7F91A873">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r>
              <w:rPr>
                <w:rFonts w:hint="eastAsia" w:ascii="宋体" w:hAnsi="宋体" w:eastAsia="宋体" w:cs="宋体"/>
                <w:b/>
              </w:rPr>
              <w:t>合  计</w:t>
            </w:r>
            <w:r>
              <w:rPr>
                <w:rFonts w:hint="eastAsia" w:ascii="宋体" w:hAnsi="宋体" w:eastAsia="宋体" w:cs="宋体"/>
                <w:b/>
                <w:lang w:eastAsia="zh-CN"/>
              </w:rPr>
              <w:t>（</w:t>
            </w:r>
            <w:r>
              <w:rPr>
                <w:rFonts w:hint="eastAsia" w:ascii="宋体" w:hAnsi="宋体" w:eastAsia="宋体" w:cs="宋体"/>
                <w:b/>
              </w:rPr>
              <w:t>人民币</w:t>
            </w:r>
            <w:r>
              <w:rPr>
                <w:rFonts w:hint="eastAsia" w:ascii="宋体" w:hAnsi="宋体" w:eastAsia="宋体" w:cs="宋体"/>
                <w:b/>
                <w:lang w:val="en-US" w:eastAsia="zh-CN"/>
              </w:rPr>
              <w:t>/</w:t>
            </w:r>
            <w:r>
              <w:rPr>
                <w:rFonts w:hint="eastAsia" w:ascii="宋体" w:hAnsi="宋体" w:eastAsia="宋体" w:cs="宋体"/>
                <w:b/>
              </w:rPr>
              <w:t>元</w:t>
            </w:r>
            <w:r>
              <w:rPr>
                <w:rFonts w:hint="eastAsia" w:ascii="宋体" w:hAnsi="宋体" w:eastAsia="宋体" w:cs="宋体"/>
                <w:b/>
                <w:lang w:eastAsia="zh-CN"/>
              </w:rPr>
              <w:t>）</w:t>
            </w:r>
            <w:r>
              <w:rPr>
                <w:rFonts w:hint="eastAsia" w:ascii="宋体" w:hAnsi="宋体" w:eastAsia="宋体" w:cs="宋体"/>
                <w:b/>
              </w:rPr>
              <w:t>：</w:t>
            </w:r>
          </w:p>
        </w:tc>
        <w:tc>
          <w:tcPr>
            <w:tcW w:w="1889" w:type="dxa"/>
            <w:tcBorders>
              <w:bottom w:val="double" w:color="auto" w:sz="4" w:space="0"/>
              <w:right w:val="double" w:color="auto" w:sz="4" w:space="0"/>
            </w:tcBorders>
            <w:vAlign w:val="center"/>
          </w:tcPr>
          <w:p w14:paraId="64D0316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rPr>
            </w:pPr>
          </w:p>
        </w:tc>
      </w:tr>
    </w:tbl>
    <w:p w14:paraId="60C5A50A">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注：1、</w:t>
      </w:r>
      <w:r>
        <w:rPr>
          <w:rFonts w:hint="eastAsia" w:ascii="宋体" w:hAnsi="宋体" w:eastAsia="宋体" w:cs="宋体"/>
        </w:rPr>
        <w:t>本表格式</w:t>
      </w:r>
      <w:r>
        <w:rPr>
          <w:rFonts w:hint="eastAsia" w:ascii="宋体" w:hAnsi="宋体" w:eastAsia="宋体" w:cs="宋体"/>
          <w:lang w:val="en-US" w:eastAsia="zh-CN"/>
        </w:rPr>
        <w:t>为固定模板</w:t>
      </w:r>
      <w:r>
        <w:rPr>
          <w:rFonts w:hint="eastAsia" w:ascii="宋体" w:hAnsi="宋体" w:eastAsia="宋体" w:cs="宋体"/>
        </w:rPr>
        <w:t>，</w:t>
      </w:r>
      <w:r>
        <w:rPr>
          <w:rFonts w:hint="eastAsia" w:ascii="宋体" w:hAnsi="宋体" w:eastAsia="宋体" w:cs="宋体"/>
          <w:lang w:val="en-US" w:eastAsia="zh-CN"/>
        </w:rPr>
        <w:t>投标人不可修改调整，</w:t>
      </w:r>
      <w:r>
        <w:rPr>
          <w:rFonts w:hint="eastAsia" w:ascii="宋体" w:hAnsi="宋体" w:eastAsia="宋体" w:cs="宋体"/>
        </w:rPr>
        <w:t>报价</w:t>
      </w:r>
      <w:r>
        <w:rPr>
          <w:rFonts w:hint="eastAsia" w:ascii="宋体" w:hAnsi="宋体" w:eastAsia="宋体" w:cs="宋体"/>
          <w:lang w:val="en-US" w:eastAsia="zh-CN"/>
        </w:rPr>
        <w:t>清单</w:t>
      </w:r>
      <w:r>
        <w:rPr>
          <w:rFonts w:hint="eastAsia" w:ascii="宋体" w:hAnsi="宋体" w:eastAsia="宋体" w:cs="宋体"/>
        </w:rPr>
        <w:t>上的合计金额应与开标一览表的投标报价金额一致。</w:t>
      </w:r>
    </w:p>
    <w:p w14:paraId="4EE4E69D">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lang w:val="en-US" w:eastAsia="zh-CN"/>
        </w:rPr>
        <w:t>2</w:t>
      </w:r>
      <w:r>
        <w:rPr>
          <w:rFonts w:hint="eastAsia" w:asciiTheme="minorEastAsia" w:hAnsiTheme="minorEastAsia" w:eastAsiaTheme="minorEastAsia"/>
          <w:bCs/>
          <w:kern w:val="0"/>
          <w:szCs w:val="21"/>
        </w:rPr>
        <w:t>、</w:t>
      </w:r>
      <w:r>
        <w:rPr>
          <w:rFonts w:hint="eastAsia" w:ascii="宋体" w:hAnsi="宋体"/>
          <w:szCs w:val="21"/>
        </w:rPr>
        <w:t>根据《中华人民共和国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3E6802">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p>
    <w:p w14:paraId="1F761FCA">
      <w:pPr>
        <w:keepNext w:val="0"/>
        <w:keepLines w:val="0"/>
        <w:pageBreakBefore w:val="0"/>
        <w:widowControl w:val="0"/>
        <w:kinsoku/>
        <w:wordWrap/>
        <w:overflowPunct/>
        <w:topLinePunct w:val="0"/>
        <w:autoSpaceDE/>
        <w:autoSpaceDN/>
        <w:bidi w:val="0"/>
        <w:spacing w:afterLines="50"/>
        <w:jc w:val="center"/>
        <w:textAlignment w:val="auto"/>
        <w:rPr>
          <w:rFonts w:ascii="黑体" w:hAnsi="宋体" w:eastAsia="黑体"/>
          <w:bCs/>
          <w:kern w:val="0"/>
          <w:sz w:val="24"/>
          <w:szCs w:val="24"/>
        </w:rPr>
      </w:pPr>
      <w:r>
        <w:rPr>
          <w:rFonts w:hint="eastAsia" w:ascii="黑体" w:hAnsi="宋体" w:eastAsia="黑体"/>
          <w:bCs/>
          <w:kern w:val="0"/>
          <w:sz w:val="24"/>
          <w:szCs w:val="24"/>
        </w:rPr>
        <w:t>十、服务要求偏离表</w:t>
      </w:r>
    </w:p>
    <w:tbl>
      <w:tblPr>
        <w:tblStyle w:val="4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51" w:type="dxa"/>
            <w:vAlign w:val="center"/>
          </w:tcPr>
          <w:p w14:paraId="1163D8B5">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序号</w:t>
            </w:r>
          </w:p>
        </w:tc>
        <w:tc>
          <w:tcPr>
            <w:tcW w:w="2551" w:type="dxa"/>
            <w:vAlign w:val="center"/>
          </w:tcPr>
          <w:p w14:paraId="643ECCDD">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招标文件服务要求</w:t>
            </w:r>
          </w:p>
        </w:tc>
        <w:tc>
          <w:tcPr>
            <w:tcW w:w="1985" w:type="dxa"/>
            <w:vAlign w:val="center"/>
          </w:tcPr>
          <w:p w14:paraId="4E5E7328">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投标文件服务响应</w:t>
            </w:r>
          </w:p>
        </w:tc>
        <w:tc>
          <w:tcPr>
            <w:tcW w:w="1276" w:type="dxa"/>
            <w:vAlign w:val="center"/>
          </w:tcPr>
          <w:p w14:paraId="2D462C19">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偏离情况</w:t>
            </w:r>
          </w:p>
        </w:tc>
        <w:tc>
          <w:tcPr>
            <w:tcW w:w="2551" w:type="dxa"/>
            <w:vAlign w:val="center"/>
          </w:tcPr>
          <w:p w14:paraId="1B14A8CA">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4F94DB77">
            <w:pPr>
              <w:keepNext w:val="0"/>
              <w:keepLines w:val="0"/>
              <w:pageBreakBefore w:val="0"/>
              <w:widowControl w:val="0"/>
              <w:kinsoku/>
              <w:wordWrap/>
              <w:overflowPunct/>
              <w:topLinePunct w:val="0"/>
              <w:autoSpaceDE/>
              <w:autoSpaceDN/>
              <w:bidi w:val="0"/>
              <w:textAlignment w:val="auto"/>
              <w:rPr>
                <w:sz w:val="24"/>
              </w:rPr>
            </w:pPr>
          </w:p>
        </w:tc>
        <w:tc>
          <w:tcPr>
            <w:tcW w:w="2551" w:type="dxa"/>
          </w:tcPr>
          <w:p w14:paraId="2D6F5697">
            <w:pPr>
              <w:keepNext w:val="0"/>
              <w:keepLines w:val="0"/>
              <w:pageBreakBefore w:val="0"/>
              <w:widowControl w:val="0"/>
              <w:kinsoku/>
              <w:wordWrap/>
              <w:overflowPunct/>
              <w:topLinePunct w:val="0"/>
              <w:autoSpaceDE/>
              <w:autoSpaceDN/>
              <w:bidi w:val="0"/>
              <w:textAlignment w:val="auto"/>
              <w:rPr>
                <w:sz w:val="24"/>
              </w:rPr>
            </w:pPr>
          </w:p>
        </w:tc>
        <w:tc>
          <w:tcPr>
            <w:tcW w:w="1985" w:type="dxa"/>
          </w:tcPr>
          <w:p w14:paraId="6B23C05C">
            <w:pPr>
              <w:keepNext w:val="0"/>
              <w:keepLines w:val="0"/>
              <w:pageBreakBefore w:val="0"/>
              <w:widowControl w:val="0"/>
              <w:kinsoku/>
              <w:wordWrap/>
              <w:overflowPunct/>
              <w:topLinePunct w:val="0"/>
              <w:autoSpaceDE/>
              <w:autoSpaceDN/>
              <w:bidi w:val="0"/>
              <w:textAlignment w:val="auto"/>
              <w:rPr>
                <w:sz w:val="24"/>
              </w:rPr>
            </w:pPr>
          </w:p>
        </w:tc>
        <w:tc>
          <w:tcPr>
            <w:tcW w:w="1276" w:type="dxa"/>
          </w:tcPr>
          <w:p w14:paraId="24773EA1">
            <w:pPr>
              <w:keepNext w:val="0"/>
              <w:keepLines w:val="0"/>
              <w:pageBreakBefore w:val="0"/>
              <w:widowControl w:val="0"/>
              <w:kinsoku/>
              <w:wordWrap/>
              <w:overflowPunct/>
              <w:topLinePunct w:val="0"/>
              <w:autoSpaceDE/>
              <w:autoSpaceDN/>
              <w:bidi w:val="0"/>
              <w:textAlignment w:val="auto"/>
              <w:rPr>
                <w:sz w:val="24"/>
              </w:rPr>
            </w:pPr>
          </w:p>
        </w:tc>
        <w:tc>
          <w:tcPr>
            <w:tcW w:w="2551" w:type="dxa"/>
          </w:tcPr>
          <w:p w14:paraId="1CEBFEFB">
            <w:pPr>
              <w:keepNext w:val="0"/>
              <w:keepLines w:val="0"/>
              <w:pageBreakBefore w:val="0"/>
              <w:widowControl w:val="0"/>
              <w:kinsoku/>
              <w:wordWrap/>
              <w:overflowPunct/>
              <w:topLinePunct w:val="0"/>
              <w:autoSpaceDE/>
              <w:autoSpaceDN/>
              <w:bidi w:val="0"/>
              <w:textAlignment w:val="auto"/>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554C8C59">
            <w:pPr>
              <w:keepNext w:val="0"/>
              <w:keepLines w:val="0"/>
              <w:pageBreakBefore w:val="0"/>
              <w:widowControl w:val="0"/>
              <w:kinsoku/>
              <w:wordWrap/>
              <w:overflowPunct/>
              <w:topLinePunct w:val="0"/>
              <w:autoSpaceDE/>
              <w:autoSpaceDN/>
              <w:bidi w:val="0"/>
              <w:textAlignment w:val="auto"/>
              <w:rPr>
                <w:sz w:val="24"/>
              </w:rPr>
            </w:pPr>
          </w:p>
        </w:tc>
        <w:tc>
          <w:tcPr>
            <w:tcW w:w="2551" w:type="dxa"/>
          </w:tcPr>
          <w:p w14:paraId="4698460F">
            <w:pPr>
              <w:keepNext w:val="0"/>
              <w:keepLines w:val="0"/>
              <w:pageBreakBefore w:val="0"/>
              <w:widowControl w:val="0"/>
              <w:kinsoku/>
              <w:wordWrap/>
              <w:overflowPunct/>
              <w:topLinePunct w:val="0"/>
              <w:autoSpaceDE/>
              <w:autoSpaceDN/>
              <w:bidi w:val="0"/>
              <w:textAlignment w:val="auto"/>
              <w:rPr>
                <w:sz w:val="24"/>
              </w:rPr>
            </w:pPr>
          </w:p>
        </w:tc>
        <w:tc>
          <w:tcPr>
            <w:tcW w:w="1985" w:type="dxa"/>
          </w:tcPr>
          <w:p w14:paraId="7E6B6D52">
            <w:pPr>
              <w:keepNext w:val="0"/>
              <w:keepLines w:val="0"/>
              <w:pageBreakBefore w:val="0"/>
              <w:widowControl w:val="0"/>
              <w:kinsoku/>
              <w:wordWrap/>
              <w:overflowPunct/>
              <w:topLinePunct w:val="0"/>
              <w:autoSpaceDE/>
              <w:autoSpaceDN/>
              <w:bidi w:val="0"/>
              <w:textAlignment w:val="auto"/>
              <w:rPr>
                <w:sz w:val="24"/>
              </w:rPr>
            </w:pPr>
          </w:p>
        </w:tc>
        <w:tc>
          <w:tcPr>
            <w:tcW w:w="1276" w:type="dxa"/>
          </w:tcPr>
          <w:p w14:paraId="3C7E3B1F">
            <w:pPr>
              <w:keepNext w:val="0"/>
              <w:keepLines w:val="0"/>
              <w:pageBreakBefore w:val="0"/>
              <w:widowControl w:val="0"/>
              <w:kinsoku/>
              <w:wordWrap/>
              <w:overflowPunct/>
              <w:topLinePunct w:val="0"/>
              <w:autoSpaceDE/>
              <w:autoSpaceDN/>
              <w:bidi w:val="0"/>
              <w:textAlignment w:val="auto"/>
              <w:rPr>
                <w:sz w:val="24"/>
              </w:rPr>
            </w:pPr>
          </w:p>
        </w:tc>
        <w:tc>
          <w:tcPr>
            <w:tcW w:w="2551" w:type="dxa"/>
          </w:tcPr>
          <w:p w14:paraId="3D15A4CD">
            <w:pPr>
              <w:keepNext w:val="0"/>
              <w:keepLines w:val="0"/>
              <w:pageBreakBefore w:val="0"/>
              <w:widowControl w:val="0"/>
              <w:kinsoku/>
              <w:wordWrap/>
              <w:overflowPunct/>
              <w:topLinePunct w:val="0"/>
              <w:autoSpaceDE/>
              <w:autoSpaceDN/>
              <w:bidi w:val="0"/>
              <w:textAlignment w:val="auto"/>
              <w:rPr>
                <w:sz w:val="24"/>
              </w:rPr>
            </w:pPr>
          </w:p>
        </w:tc>
      </w:tr>
    </w:tbl>
    <w:p w14:paraId="481C6867">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4C407108">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1</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“招标文件服务要求”一栏填写招标文件第二章“招标项目需求”</w:t>
      </w:r>
      <w:r>
        <w:rPr>
          <w:rFonts w:asciiTheme="minorEastAsia" w:hAnsiTheme="minorEastAsia" w:eastAsiaTheme="minorEastAsia"/>
          <w:b/>
          <w:bCs/>
          <w:kern w:val="0"/>
          <w:szCs w:val="21"/>
          <w:highlight w:val="yellow"/>
        </w:rPr>
        <w:t>“</w:t>
      </w:r>
      <w:r>
        <w:rPr>
          <w:rFonts w:hint="eastAsia" w:asciiTheme="minorEastAsia" w:hAnsiTheme="minorEastAsia" w:eastAsiaTheme="minorEastAsia"/>
          <w:b/>
          <w:bCs/>
          <w:kern w:val="0"/>
          <w:szCs w:val="21"/>
          <w:highlight w:val="yellow"/>
        </w:rPr>
        <w:t>四、项目</w:t>
      </w:r>
      <w:r>
        <w:rPr>
          <w:rFonts w:asciiTheme="minorEastAsia" w:hAnsiTheme="minorEastAsia" w:eastAsiaTheme="minorEastAsia"/>
          <w:b/>
          <w:bCs/>
          <w:kern w:val="0"/>
          <w:szCs w:val="21"/>
          <w:highlight w:val="yellow"/>
        </w:rPr>
        <w:t>服务</w:t>
      </w:r>
      <w:r>
        <w:rPr>
          <w:rFonts w:hint="eastAsia" w:asciiTheme="minorEastAsia" w:hAnsiTheme="minorEastAsia" w:eastAsiaTheme="minorEastAsia"/>
          <w:b/>
          <w:bCs/>
          <w:kern w:val="0"/>
          <w:szCs w:val="21"/>
          <w:highlight w:val="yellow"/>
        </w:rPr>
        <w:t>要求</w:t>
      </w:r>
      <w:r>
        <w:rPr>
          <w:rFonts w:asciiTheme="minorEastAsia" w:hAnsiTheme="minorEastAsia" w:eastAsiaTheme="minorEastAsia"/>
          <w:b/>
          <w:bCs/>
          <w:kern w:val="0"/>
          <w:szCs w:val="21"/>
          <w:highlight w:val="yellow"/>
        </w:rPr>
        <w:t>”</w:t>
      </w:r>
      <w:r>
        <w:rPr>
          <w:rFonts w:asciiTheme="minorEastAsia" w:hAnsiTheme="minorEastAsia" w:eastAsiaTheme="minorEastAsia"/>
          <w:bCs/>
          <w:kern w:val="0"/>
          <w:szCs w:val="21"/>
        </w:rPr>
        <w:t>的内容。</w:t>
      </w:r>
    </w:p>
    <w:p w14:paraId="4795A060">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2</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“投标文件服务</w:t>
      </w:r>
      <w:r>
        <w:rPr>
          <w:rFonts w:hint="eastAsia" w:asciiTheme="minorEastAsia" w:hAnsiTheme="minorEastAsia" w:eastAsiaTheme="minorEastAsia"/>
          <w:bCs/>
          <w:kern w:val="0"/>
          <w:szCs w:val="21"/>
        </w:rPr>
        <w:t>响应</w:t>
      </w:r>
      <w:r>
        <w:rPr>
          <w:rFonts w:asciiTheme="minorEastAsia" w:hAnsiTheme="minorEastAsia" w:eastAsiaTheme="minorEastAsia"/>
          <w:bCs/>
          <w:kern w:val="0"/>
          <w:szCs w:val="21"/>
        </w:rPr>
        <w:t>”一栏详细填写响应情况，并应对照</w:t>
      </w:r>
      <w:r>
        <w:rPr>
          <w:rFonts w:hint="eastAsia" w:asciiTheme="minorEastAsia" w:hAnsiTheme="minorEastAsia" w:eastAsiaTheme="minorEastAsia"/>
          <w:bCs/>
          <w:kern w:val="0"/>
          <w:szCs w:val="21"/>
        </w:rPr>
        <w:t>招</w:t>
      </w:r>
      <w:r>
        <w:rPr>
          <w:rFonts w:asciiTheme="minorEastAsia" w:hAnsiTheme="minorEastAsia" w:eastAsiaTheme="minorEastAsia"/>
          <w:bCs/>
          <w:kern w:val="0"/>
          <w:szCs w:val="21"/>
        </w:rPr>
        <w:t>标文件</w:t>
      </w:r>
      <w:r>
        <w:rPr>
          <w:rFonts w:hint="eastAsia" w:asciiTheme="minorEastAsia" w:hAnsiTheme="minorEastAsia" w:eastAsiaTheme="minorEastAsia"/>
          <w:bCs/>
          <w:kern w:val="0"/>
          <w:szCs w:val="21"/>
        </w:rPr>
        <w:t>服务</w:t>
      </w:r>
      <w:r>
        <w:rPr>
          <w:rFonts w:asciiTheme="minorEastAsia" w:hAnsiTheme="minorEastAsia" w:eastAsiaTheme="minorEastAsia"/>
          <w:bCs/>
          <w:kern w:val="0"/>
          <w:szCs w:val="21"/>
        </w:rPr>
        <w:t>要求一一对应响应。</w:t>
      </w:r>
    </w:p>
    <w:p w14:paraId="18856264">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asciiTheme="minorEastAsia" w:hAnsiTheme="minorEastAsia" w:eastAsiaTheme="minorEastAsia"/>
          <w:bCs/>
          <w:kern w:val="0"/>
          <w:szCs w:val="21"/>
        </w:rPr>
        <w:t>3</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“偏离情况”一栏应如实填写“正偏离”、“负偏离”或“无偏离”。</w:t>
      </w:r>
    </w:p>
    <w:p w14:paraId="0BB97D25">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48E999F8">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32350FA9">
      <w:pPr>
        <w:keepNext w:val="0"/>
        <w:keepLines w:val="0"/>
        <w:pageBreakBefore w:val="0"/>
        <w:widowControl w:val="0"/>
        <w:kinsoku/>
        <w:wordWrap/>
        <w:overflowPunct/>
        <w:topLinePunct w:val="0"/>
        <w:autoSpaceDE/>
        <w:autoSpaceDN/>
        <w:bidi w:val="0"/>
        <w:spacing w:afterLines="50"/>
        <w:jc w:val="center"/>
        <w:textAlignment w:val="auto"/>
        <w:rPr>
          <w:rFonts w:ascii="黑体" w:hAnsi="宋体" w:eastAsia="黑体"/>
          <w:bCs/>
          <w:kern w:val="0"/>
          <w:sz w:val="24"/>
          <w:szCs w:val="24"/>
        </w:rPr>
      </w:pPr>
      <w:r>
        <w:rPr>
          <w:rFonts w:hint="eastAsia" w:ascii="黑体" w:hAnsi="宋体" w:eastAsia="黑体"/>
          <w:bCs/>
          <w:kern w:val="0"/>
          <w:sz w:val="24"/>
          <w:szCs w:val="24"/>
        </w:rPr>
        <w:t>十一、商务要求偏离表</w:t>
      </w:r>
    </w:p>
    <w:tbl>
      <w:tblPr>
        <w:tblStyle w:val="42"/>
        <w:tblW w:w="91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551"/>
        <w:gridCol w:w="1344"/>
        <w:gridCol w:w="2008"/>
      </w:tblGrid>
      <w:tr w14:paraId="79AD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51" w:type="dxa"/>
            <w:vAlign w:val="center"/>
          </w:tcPr>
          <w:p w14:paraId="50E5A7B9">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序号</w:t>
            </w:r>
          </w:p>
        </w:tc>
        <w:tc>
          <w:tcPr>
            <w:tcW w:w="2410" w:type="dxa"/>
            <w:vAlign w:val="center"/>
          </w:tcPr>
          <w:p w14:paraId="7AF764F6">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招标文件商务要求</w:t>
            </w:r>
          </w:p>
        </w:tc>
        <w:tc>
          <w:tcPr>
            <w:tcW w:w="2551" w:type="dxa"/>
            <w:vAlign w:val="center"/>
          </w:tcPr>
          <w:p w14:paraId="42F0B6E4">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投标文件商务响应</w:t>
            </w:r>
          </w:p>
        </w:tc>
        <w:tc>
          <w:tcPr>
            <w:tcW w:w="1344" w:type="dxa"/>
            <w:vAlign w:val="center"/>
          </w:tcPr>
          <w:p w14:paraId="62AFABD0">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偏离情况</w:t>
            </w:r>
          </w:p>
        </w:tc>
        <w:tc>
          <w:tcPr>
            <w:tcW w:w="2008" w:type="dxa"/>
            <w:vAlign w:val="center"/>
          </w:tcPr>
          <w:p w14:paraId="18755FA9">
            <w:pPr>
              <w:keepNext w:val="0"/>
              <w:keepLines w:val="0"/>
              <w:pageBreakBefore w:val="0"/>
              <w:widowControl w:val="0"/>
              <w:kinsoku/>
              <w:wordWrap/>
              <w:overflowPunct/>
              <w:topLinePunct w:val="0"/>
              <w:autoSpaceDE/>
              <w:autoSpaceDN/>
              <w:bidi w:val="0"/>
              <w:jc w:val="center"/>
              <w:textAlignment w:val="auto"/>
              <w:rPr>
                <w:rFonts w:ascii="宋体" w:hAnsi="宋体"/>
                <w:szCs w:val="21"/>
              </w:rPr>
            </w:pPr>
            <w:r>
              <w:rPr>
                <w:rFonts w:hint="eastAsia" w:ascii="宋体" w:hAnsi="宋体"/>
                <w:szCs w:val="21"/>
              </w:rPr>
              <w:t>说明</w:t>
            </w:r>
          </w:p>
        </w:tc>
      </w:tr>
      <w:tr w14:paraId="311F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51" w:type="dxa"/>
          </w:tcPr>
          <w:p w14:paraId="00EEF4A7">
            <w:pPr>
              <w:keepNext w:val="0"/>
              <w:keepLines w:val="0"/>
              <w:pageBreakBefore w:val="0"/>
              <w:widowControl w:val="0"/>
              <w:kinsoku/>
              <w:wordWrap/>
              <w:overflowPunct/>
              <w:topLinePunct w:val="0"/>
              <w:autoSpaceDE/>
              <w:autoSpaceDN/>
              <w:bidi w:val="0"/>
              <w:textAlignment w:val="auto"/>
              <w:rPr>
                <w:sz w:val="24"/>
              </w:rPr>
            </w:pPr>
          </w:p>
        </w:tc>
        <w:tc>
          <w:tcPr>
            <w:tcW w:w="2410" w:type="dxa"/>
          </w:tcPr>
          <w:p w14:paraId="03CB5AC6">
            <w:pPr>
              <w:keepNext w:val="0"/>
              <w:keepLines w:val="0"/>
              <w:pageBreakBefore w:val="0"/>
              <w:widowControl w:val="0"/>
              <w:kinsoku/>
              <w:wordWrap/>
              <w:overflowPunct/>
              <w:topLinePunct w:val="0"/>
              <w:autoSpaceDE/>
              <w:autoSpaceDN/>
              <w:bidi w:val="0"/>
              <w:textAlignment w:val="auto"/>
              <w:rPr>
                <w:sz w:val="24"/>
              </w:rPr>
            </w:pPr>
          </w:p>
        </w:tc>
        <w:tc>
          <w:tcPr>
            <w:tcW w:w="2551" w:type="dxa"/>
          </w:tcPr>
          <w:p w14:paraId="629C5896">
            <w:pPr>
              <w:keepNext w:val="0"/>
              <w:keepLines w:val="0"/>
              <w:pageBreakBefore w:val="0"/>
              <w:widowControl w:val="0"/>
              <w:kinsoku/>
              <w:wordWrap/>
              <w:overflowPunct/>
              <w:topLinePunct w:val="0"/>
              <w:autoSpaceDE/>
              <w:autoSpaceDN/>
              <w:bidi w:val="0"/>
              <w:textAlignment w:val="auto"/>
              <w:rPr>
                <w:sz w:val="24"/>
              </w:rPr>
            </w:pPr>
          </w:p>
        </w:tc>
        <w:tc>
          <w:tcPr>
            <w:tcW w:w="1344" w:type="dxa"/>
          </w:tcPr>
          <w:p w14:paraId="2A0C28EE">
            <w:pPr>
              <w:keepNext w:val="0"/>
              <w:keepLines w:val="0"/>
              <w:pageBreakBefore w:val="0"/>
              <w:widowControl w:val="0"/>
              <w:kinsoku/>
              <w:wordWrap/>
              <w:overflowPunct/>
              <w:topLinePunct w:val="0"/>
              <w:autoSpaceDE/>
              <w:autoSpaceDN/>
              <w:bidi w:val="0"/>
              <w:textAlignment w:val="auto"/>
              <w:rPr>
                <w:sz w:val="24"/>
              </w:rPr>
            </w:pPr>
          </w:p>
        </w:tc>
        <w:tc>
          <w:tcPr>
            <w:tcW w:w="2008" w:type="dxa"/>
          </w:tcPr>
          <w:p w14:paraId="00CC59FA">
            <w:pPr>
              <w:keepNext w:val="0"/>
              <w:keepLines w:val="0"/>
              <w:pageBreakBefore w:val="0"/>
              <w:widowControl w:val="0"/>
              <w:kinsoku/>
              <w:wordWrap/>
              <w:overflowPunct/>
              <w:topLinePunct w:val="0"/>
              <w:autoSpaceDE/>
              <w:autoSpaceDN/>
              <w:bidi w:val="0"/>
              <w:textAlignment w:val="auto"/>
              <w:rPr>
                <w:sz w:val="24"/>
              </w:rPr>
            </w:pPr>
            <w:r>
              <w:rPr>
                <w:rFonts w:hint="eastAsia"/>
                <w:szCs w:val="21"/>
              </w:rPr>
              <w:t>如需附证明文件，应在“说明”栏填写证明文件对应名称和页码。</w:t>
            </w:r>
          </w:p>
        </w:tc>
      </w:tr>
      <w:tr w14:paraId="7A13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51" w:type="dxa"/>
          </w:tcPr>
          <w:p w14:paraId="57EF8A31">
            <w:pPr>
              <w:keepNext w:val="0"/>
              <w:keepLines w:val="0"/>
              <w:pageBreakBefore w:val="0"/>
              <w:widowControl w:val="0"/>
              <w:kinsoku/>
              <w:wordWrap/>
              <w:overflowPunct/>
              <w:topLinePunct w:val="0"/>
              <w:autoSpaceDE/>
              <w:autoSpaceDN/>
              <w:bidi w:val="0"/>
              <w:textAlignment w:val="auto"/>
              <w:rPr>
                <w:sz w:val="24"/>
              </w:rPr>
            </w:pPr>
          </w:p>
        </w:tc>
        <w:tc>
          <w:tcPr>
            <w:tcW w:w="2410" w:type="dxa"/>
          </w:tcPr>
          <w:p w14:paraId="621CBA5F">
            <w:pPr>
              <w:keepNext w:val="0"/>
              <w:keepLines w:val="0"/>
              <w:pageBreakBefore w:val="0"/>
              <w:widowControl w:val="0"/>
              <w:kinsoku/>
              <w:wordWrap/>
              <w:overflowPunct/>
              <w:topLinePunct w:val="0"/>
              <w:autoSpaceDE/>
              <w:autoSpaceDN/>
              <w:bidi w:val="0"/>
              <w:textAlignment w:val="auto"/>
              <w:rPr>
                <w:sz w:val="24"/>
              </w:rPr>
            </w:pPr>
          </w:p>
        </w:tc>
        <w:tc>
          <w:tcPr>
            <w:tcW w:w="2551" w:type="dxa"/>
          </w:tcPr>
          <w:p w14:paraId="4528F0C9">
            <w:pPr>
              <w:keepNext w:val="0"/>
              <w:keepLines w:val="0"/>
              <w:pageBreakBefore w:val="0"/>
              <w:widowControl w:val="0"/>
              <w:kinsoku/>
              <w:wordWrap/>
              <w:overflowPunct/>
              <w:topLinePunct w:val="0"/>
              <w:autoSpaceDE/>
              <w:autoSpaceDN/>
              <w:bidi w:val="0"/>
              <w:textAlignment w:val="auto"/>
              <w:rPr>
                <w:sz w:val="24"/>
              </w:rPr>
            </w:pPr>
          </w:p>
        </w:tc>
        <w:tc>
          <w:tcPr>
            <w:tcW w:w="1344" w:type="dxa"/>
          </w:tcPr>
          <w:p w14:paraId="707065F9">
            <w:pPr>
              <w:keepNext w:val="0"/>
              <w:keepLines w:val="0"/>
              <w:pageBreakBefore w:val="0"/>
              <w:widowControl w:val="0"/>
              <w:kinsoku/>
              <w:wordWrap/>
              <w:overflowPunct/>
              <w:topLinePunct w:val="0"/>
              <w:autoSpaceDE/>
              <w:autoSpaceDN/>
              <w:bidi w:val="0"/>
              <w:textAlignment w:val="auto"/>
              <w:rPr>
                <w:sz w:val="24"/>
              </w:rPr>
            </w:pPr>
          </w:p>
        </w:tc>
        <w:tc>
          <w:tcPr>
            <w:tcW w:w="2008" w:type="dxa"/>
          </w:tcPr>
          <w:p w14:paraId="0A5347C0">
            <w:pPr>
              <w:keepNext w:val="0"/>
              <w:keepLines w:val="0"/>
              <w:pageBreakBefore w:val="0"/>
              <w:widowControl w:val="0"/>
              <w:kinsoku/>
              <w:wordWrap/>
              <w:overflowPunct/>
              <w:topLinePunct w:val="0"/>
              <w:autoSpaceDE/>
              <w:autoSpaceDN/>
              <w:bidi w:val="0"/>
              <w:textAlignment w:val="auto"/>
              <w:rPr>
                <w:sz w:val="24"/>
              </w:rPr>
            </w:pPr>
          </w:p>
        </w:tc>
      </w:tr>
    </w:tbl>
    <w:p w14:paraId="25B83E1D">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备注：</w:t>
      </w:r>
    </w:p>
    <w:p w14:paraId="01BDA369">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1、“招标文件商务服务要求”一栏填写招标文件第二章“招标项目需求”</w:t>
      </w:r>
      <w:r>
        <w:rPr>
          <w:rFonts w:hint="eastAsia" w:asciiTheme="minorEastAsia" w:hAnsiTheme="minorEastAsia" w:eastAsiaTheme="minorEastAsia"/>
          <w:b/>
          <w:bCs/>
          <w:kern w:val="0"/>
          <w:szCs w:val="21"/>
          <w:highlight w:val="yellow"/>
        </w:rPr>
        <w:t>“五、项目商务要求”</w:t>
      </w:r>
      <w:r>
        <w:rPr>
          <w:rFonts w:hint="eastAsia" w:asciiTheme="minorEastAsia" w:hAnsiTheme="minorEastAsia" w:eastAsiaTheme="minorEastAsia"/>
          <w:bCs/>
          <w:kern w:val="0"/>
          <w:szCs w:val="21"/>
        </w:rPr>
        <w:t>的内容</w:t>
      </w:r>
      <w:r>
        <w:rPr>
          <w:rFonts w:asciiTheme="minorEastAsia" w:hAnsiTheme="minorEastAsia" w:eastAsiaTheme="minorEastAsia"/>
          <w:bCs/>
          <w:kern w:val="0"/>
          <w:szCs w:val="21"/>
        </w:rPr>
        <w:t>。</w:t>
      </w:r>
    </w:p>
    <w:p w14:paraId="49B8AD4F">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2、“投标文件商务响应”一栏详细填写投标商务条款的内容</w:t>
      </w:r>
      <w:r>
        <w:rPr>
          <w:rFonts w:asciiTheme="minorEastAsia" w:hAnsiTheme="minorEastAsia" w:eastAsiaTheme="minorEastAsia"/>
          <w:bCs/>
          <w:kern w:val="0"/>
          <w:szCs w:val="21"/>
        </w:rPr>
        <w:t>。</w:t>
      </w:r>
    </w:p>
    <w:p w14:paraId="14D39D37">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3、“偏离情况”栏中应如实填写“正偏离”、“负偏离”或“无偏离”</w:t>
      </w:r>
      <w:r>
        <w:rPr>
          <w:rFonts w:asciiTheme="minorEastAsia" w:hAnsiTheme="minorEastAsia" w:eastAsiaTheme="minorEastAsia"/>
          <w:bCs/>
          <w:kern w:val="0"/>
          <w:szCs w:val="21"/>
        </w:rPr>
        <w:t>。</w:t>
      </w:r>
    </w:p>
    <w:p w14:paraId="3EE00CF2">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4、对于实质性条款，投标文件响应为“负偏离”的，投标文件将作投标无效处理</w:t>
      </w:r>
      <w:r>
        <w:rPr>
          <w:rFonts w:asciiTheme="minorEastAsia" w:hAnsiTheme="minorEastAsia" w:eastAsiaTheme="minorEastAsia"/>
          <w:bCs/>
          <w:kern w:val="0"/>
          <w:szCs w:val="21"/>
        </w:rPr>
        <w:t>。</w:t>
      </w:r>
    </w:p>
    <w:p w14:paraId="55E10043">
      <w:pPr>
        <w:keepNext w:val="0"/>
        <w:keepLines w:val="0"/>
        <w:pageBreakBefore w:val="0"/>
        <w:widowControl w:val="0"/>
        <w:tabs>
          <w:tab w:val="left" w:pos="765"/>
        </w:tabs>
        <w:kinsoku/>
        <w:wordWrap/>
        <w:overflowPunct/>
        <w:topLinePunct w:val="0"/>
        <w:autoSpaceDE/>
        <w:autoSpaceDN/>
        <w:bidi w:val="0"/>
        <w:spacing w:line="376" w:lineRule="auto"/>
        <w:textAlignment w:val="auto"/>
        <w:outlineLvl w:val="3"/>
        <w:rPr>
          <w:rFonts w:asciiTheme="minorEastAsia" w:hAnsiTheme="minorEastAsia" w:eastAsiaTheme="minorEastAsia"/>
          <w:bCs/>
          <w:kern w:val="0"/>
          <w:szCs w:val="21"/>
        </w:rPr>
      </w:pPr>
      <w:r>
        <w:rPr>
          <w:rFonts w:hint="eastAsia" w:asciiTheme="minorEastAsia" w:hAnsiTheme="minorEastAsia" w:eastAsiaTheme="minorEastAsia"/>
          <w:bCs/>
          <w:kern w:val="0"/>
          <w:szCs w:val="21"/>
        </w:rPr>
        <w:t>5、如招标文件要求提供证明材料的，投标文件需提供相应证明材料扫描件（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28EA38B3">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rPr>
        <w:t>十二、实施方案</w:t>
      </w:r>
    </w:p>
    <w:p w14:paraId="362C8DC2">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十三、</w:t>
      </w:r>
      <w:r>
        <w:rPr>
          <w:rFonts w:hint="eastAsia" w:ascii="黑体" w:hAnsi="宋体" w:eastAsia="黑体"/>
          <w:bCs/>
          <w:kern w:val="0"/>
          <w:sz w:val="24"/>
          <w:szCs w:val="24"/>
        </w:rPr>
        <w:t>项目重点难点分析、应对措施及相关的合理化建议</w:t>
      </w:r>
    </w:p>
    <w:p w14:paraId="0A0B5C90">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十四、</w:t>
      </w:r>
      <w:r>
        <w:rPr>
          <w:rFonts w:hint="eastAsia" w:ascii="黑体" w:hAnsi="宋体" w:eastAsia="黑体"/>
          <w:bCs/>
          <w:kern w:val="0"/>
          <w:sz w:val="24"/>
          <w:szCs w:val="24"/>
        </w:rPr>
        <w:t>质量保障措施及方案</w:t>
      </w:r>
    </w:p>
    <w:p w14:paraId="6071EB9D">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十五、</w:t>
      </w:r>
      <w:r>
        <w:rPr>
          <w:rFonts w:hint="eastAsia" w:ascii="黑体" w:hAnsi="宋体" w:eastAsia="黑体"/>
          <w:bCs/>
          <w:kern w:val="0"/>
          <w:sz w:val="24"/>
          <w:szCs w:val="24"/>
        </w:rPr>
        <w:t>现场演示</w:t>
      </w:r>
    </w:p>
    <w:p w14:paraId="05E6395D">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十六、</w:t>
      </w:r>
      <w:r>
        <w:rPr>
          <w:rFonts w:hint="eastAsia" w:ascii="黑体" w:hAnsi="宋体" w:eastAsia="黑体"/>
          <w:bCs/>
          <w:kern w:val="0"/>
          <w:sz w:val="24"/>
          <w:szCs w:val="24"/>
        </w:rPr>
        <w:t>项目完成（服务期满）后的服务承诺</w:t>
      </w:r>
    </w:p>
    <w:p w14:paraId="1A34ED09">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十七、</w:t>
      </w:r>
      <w:r>
        <w:rPr>
          <w:rFonts w:hint="eastAsia" w:ascii="黑体" w:hAnsi="宋体" w:eastAsia="黑体"/>
          <w:bCs/>
          <w:kern w:val="0"/>
          <w:sz w:val="24"/>
          <w:szCs w:val="24"/>
        </w:rPr>
        <w:t>违约承诺</w:t>
      </w:r>
    </w:p>
    <w:p w14:paraId="32917306">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十八、</w:t>
      </w:r>
      <w:r>
        <w:rPr>
          <w:rFonts w:hint="eastAsia" w:ascii="黑体" w:hAnsi="宋体" w:eastAsia="黑体"/>
          <w:bCs/>
          <w:kern w:val="0"/>
          <w:sz w:val="24"/>
          <w:szCs w:val="24"/>
        </w:rPr>
        <w:t>拟安排的项目负责人(仅限1人）情况</w:t>
      </w:r>
    </w:p>
    <w:p w14:paraId="2F339E7F">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十九、</w:t>
      </w:r>
      <w:r>
        <w:rPr>
          <w:rFonts w:hint="eastAsia" w:ascii="黑体" w:hAnsi="宋体" w:eastAsia="黑体"/>
          <w:bCs/>
          <w:kern w:val="0"/>
          <w:sz w:val="24"/>
          <w:szCs w:val="24"/>
        </w:rPr>
        <w:t>拟安排的项目主要团队成员（主要技术人员）情况（项目负责人除外）</w:t>
      </w:r>
    </w:p>
    <w:p w14:paraId="62383BC9">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二十、</w:t>
      </w:r>
      <w:r>
        <w:rPr>
          <w:rFonts w:hint="eastAsia" w:ascii="黑体" w:hAnsi="宋体" w:eastAsia="黑体"/>
          <w:bCs/>
          <w:kern w:val="0"/>
          <w:sz w:val="24"/>
          <w:szCs w:val="24"/>
        </w:rPr>
        <w:t>投标人体系认证情况</w:t>
      </w:r>
    </w:p>
    <w:p w14:paraId="6DA98940">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二十一、</w:t>
      </w:r>
      <w:r>
        <w:rPr>
          <w:rFonts w:hint="eastAsia" w:ascii="黑体" w:hAnsi="宋体" w:eastAsia="黑体"/>
          <w:bCs/>
          <w:kern w:val="0"/>
          <w:sz w:val="24"/>
          <w:szCs w:val="24"/>
        </w:rPr>
        <w:t>同类项目业绩情况</w:t>
      </w:r>
    </w:p>
    <w:p w14:paraId="5BB1E7EA">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二十二、</w:t>
      </w:r>
      <w:r>
        <w:rPr>
          <w:rFonts w:hint="eastAsia" w:ascii="黑体" w:hAnsi="宋体" w:eastAsia="黑体"/>
          <w:bCs/>
          <w:kern w:val="0"/>
          <w:sz w:val="24"/>
          <w:szCs w:val="24"/>
        </w:rPr>
        <w:t>获奖（荣誉）情况</w:t>
      </w:r>
    </w:p>
    <w:p w14:paraId="2810666D">
      <w:pPr>
        <w:keepNext w:val="0"/>
        <w:keepLines w:val="0"/>
        <w:pageBreakBefore w:val="0"/>
        <w:widowControl w:val="0"/>
        <w:kinsoku/>
        <w:wordWrap/>
        <w:overflowPunct/>
        <w:topLinePunct w:val="0"/>
        <w:autoSpaceDE/>
        <w:autoSpaceDN/>
        <w:bidi w:val="0"/>
        <w:spacing w:afterLines="50"/>
        <w:jc w:val="center"/>
        <w:textAlignment w:val="auto"/>
        <w:rPr>
          <w:rFonts w:hint="eastAsia" w:ascii="黑体" w:hAnsi="宋体" w:eastAsia="黑体"/>
          <w:bCs/>
          <w:kern w:val="0"/>
          <w:sz w:val="24"/>
          <w:szCs w:val="24"/>
        </w:rPr>
      </w:pPr>
      <w:r>
        <w:rPr>
          <w:rFonts w:hint="eastAsia" w:ascii="黑体" w:hAnsi="宋体" w:eastAsia="黑体"/>
          <w:bCs/>
          <w:kern w:val="0"/>
          <w:sz w:val="24"/>
          <w:szCs w:val="24"/>
          <w:lang w:val="en-US" w:eastAsia="zh-CN"/>
        </w:rPr>
        <w:t>二十三、</w:t>
      </w:r>
      <w:r>
        <w:rPr>
          <w:rFonts w:hint="eastAsia" w:ascii="黑体" w:hAnsi="宋体" w:eastAsia="黑体"/>
          <w:bCs/>
          <w:kern w:val="0"/>
          <w:sz w:val="24"/>
          <w:szCs w:val="24"/>
        </w:rPr>
        <w:t>投标人自主知识产权产品（创新、设计）情况</w:t>
      </w:r>
    </w:p>
    <w:p w14:paraId="1E9B7810">
      <w:pPr>
        <w:keepNext w:val="0"/>
        <w:keepLines w:val="0"/>
        <w:pageBreakBefore w:val="0"/>
        <w:widowControl w:val="0"/>
        <w:kinsoku/>
        <w:wordWrap/>
        <w:overflowPunct/>
        <w:topLinePunct w:val="0"/>
        <w:autoSpaceDE/>
        <w:autoSpaceDN/>
        <w:bidi w:val="0"/>
        <w:spacing w:afterLines="50"/>
        <w:jc w:val="center"/>
        <w:textAlignment w:val="auto"/>
        <w:rPr>
          <w:rFonts w:ascii="黑体" w:hAnsi="宋体" w:eastAsia="黑体"/>
          <w:bCs/>
          <w:kern w:val="0"/>
          <w:sz w:val="24"/>
          <w:szCs w:val="24"/>
        </w:rPr>
      </w:pPr>
      <w:r>
        <w:rPr>
          <w:rFonts w:hint="eastAsia" w:ascii="黑体" w:hAnsi="宋体" w:eastAsia="黑体"/>
          <w:bCs/>
          <w:kern w:val="0"/>
          <w:sz w:val="24"/>
          <w:szCs w:val="24"/>
          <w:lang w:val="en-US" w:eastAsia="zh-CN"/>
        </w:rPr>
        <w:t>二十四、</w:t>
      </w:r>
      <w:r>
        <w:rPr>
          <w:rFonts w:hint="eastAsia" w:ascii="黑体" w:hAnsi="宋体" w:eastAsia="黑体"/>
          <w:bCs/>
          <w:kern w:val="0"/>
          <w:sz w:val="24"/>
          <w:szCs w:val="24"/>
        </w:rPr>
        <w:t>诚信评审</w:t>
      </w:r>
    </w:p>
    <w:p w14:paraId="2C1018A8">
      <w:pPr>
        <w:keepNext w:val="0"/>
        <w:keepLines w:val="0"/>
        <w:pageBreakBefore w:val="0"/>
        <w:widowControl w:val="0"/>
        <w:kinsoku/>
        <w:wordWrap/>
        <w:overflowPunct/>
        <w:topLinePunct w:val="0"/>
        <w:autoSpaceDE/>
        <w:autoSpaceDN/>
        <w:bidi w:val="0"/>
        <w:jc w:val="center"/>
        <w:textAlignment w:val="auto"/>
        <w:rPr>
          <w:rFonts w:ascii="宋体" w:hAnsi="宋体"/>
          <w:b/>
          <w:bCs/>
          <w:kern w:val="0"/>
          <w:sz w:val="24"/>
          <w:szCs w:val="20"/>
        </w:rPr>
      </w:pPr>
      <w:r>
        <w:rPr>
          <w:rFonts w:hint="eastAsia" w:ascii="黑体" w:hAnsi="宋体" w:eastAsia="黑体"/>
          <w:bCs/>
          <w:kern w:val="0"/>
          <w:sz w:val="24"/>
          <w:szCs w:val="24"/>
          <w:lang w:val="en-US" w:eastAsia="zh-CN"/>
        </w:rPr>
        <w:t>二十五</w:t>
      </w:r>
      <w:r>
        <w:rPr>
          <w:rFonts w:hint="eastAsia" w:ascii="黑体" w:hAnsi="宋体" w:eastAsia="黑体"/>
          <w:bCs/>
          <w:kern w:val="0"/>
          <w:sz w:val="24"/>
          <w:szCs w:val="24"/>
        </w:rPr>
        <w:t>、招标文件要求的其它内容或投标人认为需要补充的资料（格式自定）</w:t>
      </w:r>
      <w:r>
        <w:rPr>
          <w:rFonts w:ascii="宋体" w:hAnsi="宋体"/>
          <w:b/>
          <w:bCs/>
          <w:kern w:val="0"/>
          <w:sz w:val="24"/>
          <w:szCs w:val="20"/>
        </w:rPr>
        <w:br w:type="page"/>
      </w:r>
    </w:p>
    <w:p w14:paraId="08129F67">
      <w:pPr>
        <w:jc w:val="center"/>
        <w:rPr>
          <w:rFonts w:ascii="宋体" w:hAnsi="宋体"/>
          <w:b/>
          <w:bCs/>
          <w:kern w:val="0"/>
          <w:sz w:val="24"/>
          <w:szCs w:val="20"/>
        </w:rPr>
      </w:pPr>
      <w:r>
        <w:rPr>
          <w:rFonts w:hint="eastAsia" w:ascii="宋体" w:hAnsi="宋体"/>
          <w:b/>
          <w:bCs/>
          <w:kern w:val="0"/>
          <w:sz w:val="24"/>
          <w:szCs w:val="20"/>
        </w:rPr>
        <w:t>第四章  合同及履约情况反馈格式</w:t>
      </w:r>
    </w:p>
    <w:p w14:paraId="7318CE04">
      <w:pPr>
        <w:ind w:firstLine="411" w:firstLineChars="196"/>
        <w:rPr>
          <w:rFonts w:ascii="Times New Roman" w:hAnsi="Times New Roman"/>
          <w:szCs w:val="24"/>
        </w:rPr>
      </w:pPr>
    </w:p>
    <w:p w14:paraId="243AB8E6">
      <w:pPr>
        <w:keepNext/>
        <w:keepLines/>
        <w:spacing w:before="260" w:after="260"/>
        <w:jc w:val="center"/>
        <w:outlineLvl w:val="2"/>
        <w:rPr>
          <w:rFonts w:ascii="黑体" w:hAnsi="宋体" w:eastAsia="黑体"/>
          <w:bCs/>
          <w:kern w:val="0"/>
          <w:sz w:val="24"/>
          <w:szCs w:val="24"/>
        </w:rPr>
      </w:pPr>
      <w:r>
        <w:rPr>
          <w:rFonts w:hint="eastAsia" w:ascii="黑体" w:hAnsi="宋体" w:eastAsia="黑体"/>
          <w:bCs/>
          <w:kern w:val="0"/>
          <w:sz w:val="24"/>
          <w:szCs w:val="24"/>
        </w:rPr>
        <w:t>一、合同条款及格式（</w:t>
      </w:r>
      <w:r>
        <w:rPr>
          <w:rFonts w:hint="eastAsia" w:ascii="黑体" w:eastAsia="黑体"/>
          <w:kern w:val="0"/>
          <w:sz w:val="24"/>
          <w:szCs w:val="24"/>
        </w:rPr>
        <w:t>仅供参考</w:t>
      </w:r>
      <w:r>
        <w:rPr>
          <w:rFonts w:hint="eastAsia" w:ascii="黑体" w:hAnsi="宋体" w:eastAsia="黑体"/>
          <w:bCs/>
          <w:kern w:val="0"/>
          <w:sz w:val="24"/>
          <w:szCs w:val="24"/>
        </w:rPr>
        <w:t>）</w:t>
      </w:r>
    </w:p>
    <w:p w14:paraId="5EA205C0">
      <w:pPr>
        <w:ind w:firstLine="470" w:firstLineChars="196"/>
        <w:jc w:val="center"/>
        <w:rPr>
          <w:rFonts w:ascii="Times New Roman" w:hAnsi="Times New Roman"/>
          <w:sz w:val="24"/>
          <w:szCs w:val="24"/>
        </w:rPr>
      </w:pPr>
      <w:bookmarkStart w:id="11" w:name="_Toc73521592"/>
      <w:bookmarkStart w:id="12" w:name="_Toc101074886"/>
      <w:bookmarkStart w:id="13" w:name="_Toc84303603"/>
      <w:bookmarkStart w:id="14" w:name="_Toc73521680"/>
      <w:bookmarkStart w:id="15" w:name="_Toc100052414"/>
      <w:bookmarkStart w:id="16" w:name="_Toc73518163"/>
      <w:bookmarkStart w:id="17" w:name="_Toc73517685"/>
    </w:p>
    <w:p w14:paraId="0C3E97E1">
      <w:pPr>
        <w:ind w:firstLine="470" w:firstLineChars="196"/>
        <w:jc w:val="center"/>
        <w:rPr>
          <w:rFonts w:ascii="Times New Roman" w:hAnsi="Times New Roman"/>
          <w:sz w:val="24"/>
          <w:szCs w:val="24"/>
        </w:rPr>
      </w:pPr>
    </w:p>
    <w:bookmarkEnd w:id="11"/>
    <w:bookmarkEnd w:id="12"/>
    <w:bookmarkEnd w:id="13"/>
    <w:bookmarkEnd w:id="14"/>
    <w:bookmarkEnd w:id="15"/>
    <w:bookmarkEnd w:id="16"/>
    <w:bookmarkEnd w:id="17"/>
    <w:p w14:paraId="0D6FB2FD">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AA700F0">
      <w:pPr>
        <w:pStyle w:val="22"/>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53A0765">
      <w:pPr>
        <w:adjustRightInd w:val="0"/>
        <w:snapToGrid w:val="0"/>
        <w:spacing w:line="360" w:lineRule="auto"/>
        <w:ind w:firstLine="422" w:firstLineChars="200"/>
        <w:rPr>
          <w:rFonts w:ascii="宋体" w:hAnsi="宋体"/>
          <w:b/>
          <w:bCs/>
          <w:szCs w:val="21"/>
        </w:rPr>
      </w:pPr>
    </w:p>
    <w:p w14:paraId="683F3614">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60B51857">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2DD99946">
      <w:pPr>
        <w:adjustRightInd w:val="0"/>
        <w:snapToGrid w:val="0"/>
        <w:spacing w:line="360" w:lineRule="auto"/>
        <w:rPr>
          <w:rFonts w:ascii="宋体" w:hAnsi="宋体"/>
          <w:szCs w:val="21"/>
        </w:rPr>
      </w:pPr>
    </w:p>
    <w:p w14:paraId="334312BB">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2CCDF79">
      <w:pPr>
        <w:pStyle w:val="22"/>
        <w:snapToGrid w:val="0"/>
        <w:spacing w:line="360" w:lineRule="auto"/>
        <w:ind w:firstLine="422" w:firstLineChars="200"/>
        <w:rPr>
          <w:rFonts w:hAnsi="宋体"/>
          <w:b/>
          <w:sz w:val="21"/>
          <w:szCs w:val="21"/>
        </w:rPr>
      </w:pPr>
      <w:r>
        <w:rPr>
          <w:rFonts w:hint="eastAsia" w:hAnsi="宋体"/>
          <w:b/>
          <w:sz w:val="21"/>
          <w:szCs w:val="21"/>
        </w:rPr>
        <w:t>一、服务内容</w:t>
      </w:r>
    </w:p>
    <w:p w14:paraId="373013C2">
      <w:pPr>
        <w:spacing w:line="360" w:lineRule="auto"/>
        <w:ind w:firstLine="422" w:firstLineChars="201"/>
        <w:rPr>
          <w:rFonts w:ascii="宋体" w:hAnsi="宋体"/>
          <w:szCs w:val="21"/>
        </w:rPr>
      </w:pPr>
      <w:r>
        <w:rPr>
          <w:rFonts w:hint="eastAsia" w:ascii="宋体" w:hAnsi="宋体"/>
          <w:szCs w:val="21"/>
        </w:rPr>
        <w:t>______________________</w:t>
      </w:r>
    </w:p>
    <w:p w14:paraId="5F5BE3F7">
      <w:pPr>
        <w:pStyle w:val="22"/>
        <w:snapToGrid w:val="0"/>
        <w:spacing w:line="360" w:lineRule="auto"/>
        <w:ind w:firstLine="422" w:firstLineChars="200"/>
        <w:rPr>
          <w:rFonts w:hAnsi="宋体"/>
          <w:b/>
          <w:sz w:val="21"/>
          <w:szCs w:val="21"/>
        </w:rPr>
      </w:pPr>
      <w:r>
        <w:rPr>
          <w:rFonts w:hint="eastAsia" w:hAnsi="宋体"/>
          <w:b/>
          <w:sz w:val="21"/>
          <w:szCs w:val="21"/>
        </w:rPr>
        <w:t>二、合同金额</w:t>
      </w:r>
    </w:p>
    <w:p w14:paraId="7E5FEB5E">
      <w:pPr>
        <w:pStyle w:val="22"/>
        <w:snapToGrid w:val="0"/>
        <w:spacing w:line="360" w:lineRule="auto"/>
        <w:ind w:firstLine="420" w:firstLineChars="200"/>
        <w:rPr>
          <w:rFonts w:hAnsi="宋体"/>
          <w:sz w:val="21"/>
          <w:szCs w:val="21"/>
        </w:rPr>
      </w:pPr>
      <w:r>
        <w:rPr>
          <w:rFonts w:hint="eastAsia" w:hAnsi="宋体"/>
          <w:sz w:val="21"/>
          <w:szCs w:val="21"/>
        </w:rPr>
        <w:t>本合同金额为（大写）：____________________________________元（￥_______________元）人民币。</w:t>
      </w:r>
    </w:p>
    <w:p w14:paraId="0975DF32">
      <w:pPr>
        <w:pStyle w:val="22"/>
        <w:snapToGrid w:val="0"/>
        <w:spacing w:line="360" w:lineRule="auto"/>
        <w:ind w:firstLine="422" w:firstLineChars="200"/>
        <w:rPr>
          <w:rFonts w:hAnsi="宋体"/>
          <w:b/>
          <w:sz w:val="21"/>
          <w:szCs w:val="21"/>
        </w:rPr>
      </w:pPr>
      <w:r>
        <w:rPr>
          <w:rFonts w:hint="eastAsia" w:hAnsi="宋体"/>
          <w:b/>
          <w:sz w:val="21"/>
          <w:szCs w:val="21"/>
        </w:rPr>
        <w:t>三、技术资料</w:t>
      </w:r>
    </w:p>
    <w:p w14:paraId="5B1E6D1A">
      <w:pPr>
        <w:pStyle w:val="22"/>
        <w:snapToGrid w:val="0"/>
        <w:spacing w:line="360" w:lineRule="auto"/>
        <w:ind w:firstLine="420" w:firstLineChars="200"/>
        <w:rPr>
          <w:rFonts w:hAnsi="宋体"/>
          <w:sz w:val="21"/>
          <w:szCs w:val="21"/>
        </w:rPr>
      </w:pPr>
      <w:r>
        <w:rPr>
          <w:rFonts w:hint="eastAsia" w:hAnsi="宋体"/>
          <w:sz w:val="21"/>
          <w:szCs w:val="21"/>
        </w:rPr>
        <w:t>1、中标人应按招标文件规定的时间向采购人提供有关技术资料。</w:t>
      </w:r>
    </w:p>
    <w:p w14:paraId="75F1E28C">
      <w:pPr>
        <w:pStyle w:val="22"/>
        <w:snapToGrid w:val="0"/>
        <w:spacing w:line="360" w:lineRule="auto"/>
        <w:ind w:firstLine="420" w:firstLineChars="200"/>
        <w:rPr>
          <w:rFonts w:hAnsi="宋体"/>
          <w:sz w:val="21"/>
          <w:szCs w:val="21"/>
        </w:rPr>
      </w:pPr>
      <w:r>
        <w:rPr>
          <w:rFonts w:hint="eastAsia" w:hAnsi="宋体"/>
          <w:sz w:val="21"/>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7AED1D30">
      <w:pPr>
        <w:pStyle w:val="22"/>
        <w:snapToGrid w:val="0"/>
        <w:spacing w:line="360" w:lineRule="auto"/>
        <w:ind w:firstLine="420" w:firstLineChars="200"/>
        <w:rPr>
          <w:rFonts w:hAnsi="宋体"/>
          <w:sz w:val="21"/>
          <w:szCs w:val="21"/>
        </w:rPr>
      </w:pPr>
      <w:r>
        <w:rPr>
          <w:rFonts w:hint="eastAsia" w:hAnsi="宋体"/>
          <w:sz w:val="21"/>
          <w:szCs w:val="21"/>
        </w:rPr>
        <w:t>3、合同履行完毕，未经采购人的书面同意，中标人不得保存在履行合同过程中所获得或接触到的任何内部数据资料。</w:t>
      </w:r>
    </w:p>
    <w:p w14:paraId="5692BA1C">
      <w:pPr>
        <w:pStyle w:val="22"/>
        <w:snapToGrid w:val="0"/>
        <w:spacing w:line="360" w:lineRule="auto"/>
        <w:ind w:firstLine="422" w:firstLineChars="200"/>
        <w:rPr>
          <w:rFonts w:hAnsi="宋体"/>
          <w:b/>
          <w:sz w:val="21"/>
          <w:szCs w:val="21"/>
        </w:rPr>
      </w:pPr>
      <w:r>
        <w:rPr>
          <w:rFonts w:hint="eastAsia" w:hAnsi="宋体"/>
          <w:b/>
          <w:sz w:val="21"/>
          <w:szCs w:val="21"/>
        </w:rPr>
        <w:t>四、知识产权</w:t>
      </w:r>
    </w:p>
    <w:p w14:paraId="101821D9">
      <w:pPr>
        <w:pStyle w:val="22"/>
        <w:snapToGrid w:val="0"/>
        <w:spacing w:line="360" w:lineRule="auto"/>
        <w:ind w:firstLine="420" w:firstLineChars="200"/>
        <w:rPr>
          <w:rFonts w:hAnsi="宋体"/>
          <w:bCs/>
          <w:sz w:val="21"/>
          <w:szCs w:val="21"/>
        </w:rPr>
      </w:pPr>
      <w:r>
        <w:rPr>
          <w:rFonts w:hint="eastAsia" w:hAnsi="宋体"/>
          <w:sz w:val="21"/>
          <w:szCs w:val="21"/>
        </w:rPr>
        <w:t>中标人应保证提供服务过程中不会侵犯任何第三方的知识产权</w:t>
      </w:r>
      <w:r>
        <w:rPr>
          <w:rFonts w:hint="eastAsia" w:hAnsi="宋体"/>
          <w:bCs/>
          <w:sz w:val="21"/>
          <w:szCs w:val="21"/>
        </w:rPr>
        <w:t>。</w:t>
      </w:r>
    </w:p>
    <w:p w14:paraId="230DC5AF">
      <w:pPr>
        <w:pStyle w:val="22"/>
        <w:snapToGrid w:val="0"/>
        <w:spacing w:line="360" w:lineRule="auto"/>
        <w:ind w:firstLine="422" w:firstLineChars="200"/>
        <w:rPr>
          <w:rFonts w:hAnsi="宋体"/>
          <w:b/>
          <w:sz w:val="21"/>
          <w:szCs w:val="21"/>
        </w:rPr>
      </w:pPr>
      <w:r>
        <w:rPr>
          <w:rFonts w:hint="eastAsia" w:hAnsi="宋体"/>
          <w:b/>
          <w:sz w:val="21"/>
          <w:szCs w:val="21"/>
        </w:rPr>
        <w:t>五、履约保证金</w:t>
      </w:r>
    </w:p>
    <w:p w14:paraId="16253EBC">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709CF7AA">
      <w:pPr>
        <w:snapToGrid w:val="0"/>
        <w:spacing w:line="360" w:lineRule="auto"/>
        <w:ind w:firstLine="420" w:firstLineChars="200"/>
        <w:rPr>
          <w:rFonts w:ascii="宋体" w:hAnsi="宋体"/>
          <w:szCs w:val="21"/>
        </w:rPr>
      </w:pPr>
      <w:r>
        <w:rPr>
          <w:rFonts w:hint="eastAsia" w:ascii="宋体" w:hAnsi="宋体"/>
          <w:szCs w:val="21"/>
        </w:rPr>
        <w:t>1、_______________________</w:t>
      </w:r>
    </w:p>
    <w:p w14:paraId="658BB519">
      <w:pPr>
        <w:snapToGrid w:val="0"/>
        <w:spacing w:line="360" w:lineRule="auto"/>
        <w:ind w:firstLine="420" w:firstLineChars="200"/>
        <w:rPr>
          <w:rFonts w:ascii="宋体" w:hAnsi="宋体"/>
          <w:szCs w:val="21"/>
        </w:rPr>
      </w:pPr>
      <w:r>
        <w:rPr>
          <w:rFonts w:hint="eastAsia" w:ascii="宋体" w:hAnsi="宋体"/>
          <w:szCs w:val="21"/>
        </w:rPr>
        <w:t>2、_______________________</w:t>
      </w:r>
    </w:p>
    <w:p w14:paraId="49D0B065">
      <w:pPr>
        <w:snapToGrid w:val="0"/>
        <w:spacing w:line="360" w:lineRule="auto"/>
        <w:ind w:firstLine="420" w:firstLineChars="200"/>
        <w:rPr>
          <w:rFonts w:ascii="宋体" w:hAnsi="宋体"/>
          <w:szCs w:val="21"/>
        </w:rPr>
      </w:pPr>
      <w:r>
        <w:rPr>
          <w:rFonts w:hint="eastAsia" w:ascii="宋体" w:hAnsi="宋体"/>
          <w:szCs w:val="21"/>
        </w:rPr>
        <w:t>3、_______________________</w:t>
      </w:r>
    </w:p>
    <w:p w14:paraId="21912B55">
      <w:pPr>
        <w:snapToGrid w:val="0"/>
        <w:spacing w:line="360" w:lineRule="auto"/>
        <w:ind w:firstLine="420" w:firstLineChars="200"/>
        <w:rPr>
          <w:rFonts w:ascii="宋体" w:hAnsi="宋体"/>
          <w:szCs w:val="21"/>
        </w:rPr>
      </w:pPr>
      <w:r>
        <w:rPr>
          <w:rFonts w:hint="eastAsia" w:ascii="宋体" w:hAnsi="宋体"/>
          <w:szCs w:val="21"/>
        </w:rPr>
        <w:t>4、_______________________</w:t>
      </w:r>
    </w:p>
    <w:p w14:paraId="56235377">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3AE17C79">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517C2574">
      <w:pPr>
        <w:snapToGrid w:val="0"/>
        <w:spacing w:line="360" w:lineRule="auto"/>
        <w:ind w:firstLine="420" w:firstLineChars="200"/>
        <w:rPr>
          <w:rFonts w:ascii="宋体" w:hAnsi="宋体"/>
          <w:szCs w:val="21"/>
        </w:rPr>
      </w:pPr>
      <w:r>
        <w:rPr>
          <w:rFonts w:hint="eastAsia" w:ascii="宋体" w:hAnsi="宋体"/>
          <w:szCs w:val="21"/>
        </w:rPr>
        <w:t>1、_______________________</w:t>
      </w:r>
    </w:p>
    <w:p w14:paraId="329C82CF">
      <w:pPr>
        <w:snapToGrid w:val="0"/>
        <w:spacing w:line="360" w:lineRule="auto"/>
        <w:ind w:firstLine="420" w:firstLineChars="200"/>
        <w:rPr>
          <w:rFonts w:ascii="宋体" w:hAnsi="宋体"/>
          <w:szCs w:val="21"/>
        </w:rPr>
      </w:pPr>
      <w:r>
        <w:rPr>
          <w:rFonts w:hint="eastAsia" w:ascii="宋体" w:hAnsi="宋体"/>
          <w:szCs w:val="21"/>
        </w:rPr>
        <w:t>2、_______________________</w:t>
      </w:r>
    </w:p>
    <w:p w14:paraId="73B05F53">
      <w:pPr>
        <w:snapToGrid w:val="0"/>
        <w:spacing w:line="360" w:lineRule="auto"/>
        <w:ind w:firstLine="420" w:firstLineChars="200"/>
        <w:rPr>
          <w:rFonts w:ascii="宋体" w:hAnsi="宋体"/>
          <w:szCs w:val="21"/>
        </w:rPr>
      </w:pPr>
      <w:r>
        <w:rPr>
          <w:rFonts w:hint="eastAsia" w:ascii="宋体" w:hAnsi="宋体"/>
          <w:szCs w:val="21"/>
        </w:rPr>
        <w:t>3、_______________________</w:t>
      </w:r>
    </w:p>
    <w:p w14:paraId="6F4A9FC5">
      <w:pPr>
        <w:snapToGrid w:val="0"/>
        <w:spacing w:line="360" w:lineRule="auto"/>
        <w:ind w:firstLine="420" w:firstLineChars="200"/>
        <w:rPr>
          <w:rFonts w:ascii="宋体" w:hAnsi="宋体"/>
          <w:szCs w:val="21"/>
        </w:rPr>
      </w:pPr>
      <w:r>
        <w:rPr>
          <w:rFonts w:hint="eastAsia" w:ascii="宋体" w:hAnsi="宋体"/>
          <w:szCs w:val="21"/>
        </w:rPr>
        <w:t>4、_______________________</w:t>
      </w:r>
    </w:p>
    <w:p w14:paraId="5420F486">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41D73B">
      <w:pPr>
        <w:pStyle w:val="22"/>
        <w:snapToGrid w:val="0"/>
        <w:spacing w:line="360" w:lineRule="auto"/>
        <w:ind w:firstLine="422" w:firstLineChars="200"/>
        <w:rPr>
          <w:rFonts w:hAnsi="宋体"/>
          <w:b/>
          <w:sz w:val="21"/>
          <w:szCs w:val="21"/>
        </w:rPr>
      </w:pPr>
      <w:r>
        <w:rPr>
          <w:rFonts w:hint="eastAsia" w:hAnsi="宋体"/>
          <w:b/>
          <w:sz w:val="21"/>
          <w:szCs w:val="21"/>
        </w:rPr>
        <w:t>八、合同履行时间、履行方式及履行地点</w:t>
      </w:r>
    </w:p>
    <w:p w14:paraId="0C5A81FE">
      <w:pPr>
        <w:pStyle w:val="22"/>
        <w:snapToGrid w:val="0"/>
        <w:spacing w:line="360" w:lineRule="auto"/>
        <w:ind w:firstLine="420" w:firstLineChars="200"/>
        <w:rPr>
          <w:rFonts w:hAnsi="宋体"/>
          <w:bCs/>
          <w:sz w:val="21"/>
          <w:szCs w:val="21"/>
        </w:rPr>
      </w:pPr>
      <w:r>
        <w:rPr>
          <w:rFonts w:hint="eastAsia" w:hAnsi="宋体"/>
          <w:bCs/>
          <w:sz w:val="21"/>
          <w:szCs w:val="21"/>
        </w:rPr>
        <w:t>1、</w:t>
      </w:r>
      <w:r>
        <w:rPr>
          <w:rFonts w:hint="eastAsia" w:hAnsi="宋体"/>
          <w:sz w:val="21"/>
          <w:szCs w:val="21"/>
        </w:rPr>
        <w:t>履行时间</w:t>
      </w:r>
      <w:r>
        <w:rPr>
          <w:rFonts w:hint="eastAsia" w:hAnsi="宋体"/>
          <w:bCs/>
          <w:sz w:val="21"/>
          <w:szCs w:val="21"/>
        </w:rPr>
        <w:t>：</w:t>
      </w:r>
      <w:r>
        <w:rPr>
          <w:rFonts w:hint="eastAsia" w:hAnsi="宋体"/>
          <w:sz w:val="21"/>
          <w:szCs w:val="21"/>
        </w:rPr>
        <w:t>______________________</w:t>
      </w:r>
    </w:p>
    <w:p w14:paraId="7FB39080">
      <w:pPr>
        <w:pStyle w:val="22"/>
        <w:snapToGrid w:val="0"/>
        <w:spacing w:line="360" w:lineRule="auto"/>
        <w:ind w:firstLine="420" w:firstLineChars="200"/>
        <w:rPr>
          <w:rFonts w:hAnsi="宋体"/>
          <w:bCs/>
          <w:sz w:val="21"/>
          <w:szCs w:val="21"/>
        </w:rPr>
      </w:pPr>
      <w:r>
        <w:rPr>
          <w:rFonts w:hint="eastAsia" w:hAnsi="宋体"/>
          <w:bCs/>
          <w:sz w:val="21"/>
          <w:szCs w:val="21"/>
        </w:rPr>
        <w:t>2、</w:t>
      </w:r>
      <w:r>
        <w:rPr>
          <w:rFonts w:hint="eastAsia" w:hAnsi="宋体"/>
          <w:sz w:val="21"/>
          <w:szCs w:val="21"/>
        </w:rPr>
        <w:t>履行方式</w:t>
      </w:r>
      <w:r>
        <w:rPr>
          <w:rFonts w:hint="eastAsia" w:hAnsi="宋体"/>
          <w:bCs/>
          <w:sz w:val="21"/>
          <w:szCs w:val="21"/>
        </w:rPr>
        <w:t>：</w:t>
      </w:r>
      <w:r>
        <w:rPr>
          <w:rFonts w:hint="eastAsia" w:hAnsi="宋体"/>
          <w:sz w:val="21"/>
          <w:szCs w:val="21"/>
        </w:rPr>
        <w:t>______________________</w:t>
      </w:r>
    </w:p>
    <w:p w14:paraId="047A6D77">
      <w:pPr>
        <w:pStyle w:val="22"/>
        <w:snapToGrid w:val="0"/>
        <w:spacing w:line="360" w:lineRule="auto"/>
        <w:ind w:firstLine="420" w:firstLineChars="200"/>
        <w:rPr>
          <w:rFonts w:hAnsi="宋体"/>
          <w:sz w:val="21"/>
          <w:szCs w:val="21"/>
        </w:rPr>
      </w:pPr>
      <w:r>
        <w:rPr>
          <w:rFonts w:hint="eastAsia" w:hAnsi="宋体"/>
          <w:bCs/>
          <w:sz w:val="21"/>
          <w:szCs w:val="21"/>
        </w:rPr>
        <w:t>3、</w:t>
      </w:r>
      <w:r>
        <w:rPr>
          <w:rFonts w:hint="eastAsia" w:hAnsi="宋体"/>
          <w:sz w:val="21"/>
          <w:szCs w:val="21"/>
        </w:rPr>
        <w:t>履行地点</w:t>
      </w:r>
      <w:r>
        <w:rPr>
          <w:rFonts w:hint="eastAsia" w:hAnsi="宋体"/>
          <w:bCs/>
          <w:sz w:val="21"/>
          <w:szCs w:val="21"/>
        </w:rPr>
        <w:t>：</w:t>
      </w:r>
      <w:r>
        <w:rPr>
          <w:rFonts w:hint="eastAsia" w:hAnsi="宋体"/>
          <w:sz w:val="21"/>
          <w:szCs w:val="21"/>
          <w:u w:val="single"/>
        </w:rPr>
        <w:t>深圳市</w:t>
      </w:r>
    </w:p>
    <w:p w14:paraId="6FCCA0C9">
      <w:pPr>
        <w:snapToGrid w:val="0"/>
        <w:spacing w:line="360" w:lineRule="auto"/>
        <w:ind w:firstLine="422" w:firstLineChars="200"/>
        <w:rPr>
          <w:rFonts w:ascii="宋体" w:hAnsi="宋体"/>
          <w:b/>
          <w:szCs w:val="21"/>
        </w:rPr>
      </w:pPr>
      <w:r>
        <w:rPr>
          <w:rFonts w:hint="eastAsia" w:ascii="宋体" w:hAnsi="宋体"/>
          <w:b/>
          <w:szCs w:val="21"/>
        </w:rPr>
        <w:t>九、验收</w:t>
      </w:r>
    </w:p>
    <w:p w14:paraId="63FDC097">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51A8F9BD">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74DE75E7">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13C84F76">
      <w:pPr>
        <w:pStyle w:val="22"/>
        <w:snapToGrid w:val="0"/>
        <w:spacing w:line="360" w:lineRule="auto"/>
        <w:ind w:firstLine="422" w:firstLineChars="200"/>
        <w:rPr>
          <w:rFonts w:hAnsi="宋体"/>
          <w:b/>
          <w:sz w:val="21"/>
          <w:szCs w:val="21"/>
        </w:rPr>
      </w:pPr>
      <w:r>
        <w:rPr>
          <w:rFonts w:hint="eastAsia" w:hAnsi="宋体"/>
          <w:b/>
          <w:sz w:val="21"/>
          <w:szCs w:val="21"/>
        </w:rPr>
        <w:t>十、付款方式和税费</w:t>
      </w:r>
    </w:p>
    <w:p w14:paraId="0A5B2C57">
      <w:pPr>
        <w:pStyle w:val="22"/>
        <w:snapToGrid w:val="0"/>
        <w:spacing w:line="360" w:lineRule="auto"/>
        <w:ind w:firstLine="420" w:firstLineChars="200"/>
        <w:rPr>
          <w:rFonts w:hAnsi="宋体"/>
          <w:bCs/>
          <w:sz w:val="21"/>
          <w:szCs w:val="21"/>
        </w:rPr>
      </w:pPr>
      <w:r>
        <w:rPr>
          <w:rFonts w:hAnsi="宋体" w:cs="宋体"/>
          <w:sz w:val="21"/>
          <w:szCs w:val="21"/>
        </w:rPr>
        <w:t>本合同付款方式为</w:t>
      </w:r>
      <w:r>
        <w:rPr>
          <w:rFonts w:hint="eastAsia" w:hAnsi="宋体" w:cs="宋体"/>
          <w:sz w:val="21"/>
          <w:szCs w:val="21"/>
        </w:rPr>
        <w:t>：</w:t>
      </w:r>
      <w:r>
        <w:rPr>
          <w:rFonts w:hint="eastAsia" w:hAnsi="宋体" w:cs="宋体"/>
          <w:sz w:val="21"/>
          <w:szCs w:val="21"/>
          <w:u w:val="single"/>
        </w:rPr>
        <w:t xml:space="preserve">                </w:t>
      </w:r>
      <w:r>
        <w:rPr>
          <w:rFonts w:hint="eastAsia" w:hAnsi="宋体"/>
          <w:bCs/>
          <w:sz w:val="21"/>
          <w:szCs w:val="21"/>
        </w:rPr>
        <w:t>。</w:t>
      </w:r>
    </w:p>
    <w:p w14:paraId="13A23DC5">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44D4A300">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689DD13F">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1E5AEA6F">
      <w:pPr>
        <w:pStyle w:val="22"/>
        <w:snapToGrid w:val="0"/>
        <w:spacing w:line="360" w:lineRule="auto"/>
        <w:ind w:firstLine="422" w:firstLineChars="200"/>
        <w:rPr>
          <w:rFonts w:hAnsi="宋体"/>
          <w:b/>
          <w:sz w:val="21"/>
          <w:szCs w:val="21"/>
        </w:rPr>
      </w:pPr>
      <w:r>
        <w:rPr>
          <w:rFonts w:hint="eastAsia" w:hAnsi="宋体"/>
          <w:b/>
          <w:sz w:val="21"/>
          <w:szCs w:val="21"/>
        </w:rPr>
        <w:t>十二、违约责任</w:t>
      </w:r>
    </w:p>
    <w:p w14:paraId="3130A88F">
      <w:pPr>
        <w:pStyle w:val="22"/>
        <w:snapToGrid w:val="0"/>
        <w:spacing w:line="360" w:lineRule="auto"/>
        <w:ind w:firstLine="420" w:firstLineChars="200"/>
        <w:rPr>
          <w:rFonts w:hAnsi="宋体"/>
          <w:sz w:val="21"/>
          <w:szCs w:val="21"/>
        </w:rPr>
      </w:pPr>
      <w:r>
        <w:rPr>
          <w:rFonts w:hint="eastAsia" w:hAnsi="宋体"/>
          <w:sz w:val="21"/>
          <w:szCs w:val="21"/>
        </w:rPr>
        <w:t>1、因中标人原因，未能按规定完成本项目有关工作的，采购人可在支付合同余款中扣除合同价款</w:t>
      </w:r>
      <w:r>
        <w:rPr>
          <w:rFonts w:hint="eastAsia" w:hAnsi="宋体"/>
          <w:sz w:val="21"/>
          <w:szCs w:val="21"/>
          <w:u w:val="single"/>
        </w:rPr>
        <w:t xml:space="preserve">        </w:t>
      </w:r>
      <w:r>
        <w:rPr>
          <w:rFonts w:hint="eastAsia" w:hAnsi="宋体"/>
          <w:sz w:val="21"/>
          <w:szCs w:val="21"/>
        </w:rPr>
        <w:t>。</w:t>
      </w:r>
    </w:p>
    <w:p w14:paraId="5286A151">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C623BA2">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7D953004">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0D5A16FA">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1081FE9C">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185FCF19">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34CD0D4A">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6072FDFA">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59394992">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576D915F">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11309F4A">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0E1E2A12">
      <w:pPr>
        <w:pStyle w:val="22"/>
        <w:snapToGrid w:val="0"/>
        <w:spacing w:line="360" w:lineRule="auto"/>
        <w:ind w:firstLine="420" w:firstLineChars="200"/>
        <w:rPr>
          <w:rFonts w:hAnsi="宋体"/>
          <w:sz w:val="21"/>
          <w:szCs w:val="21"/>
        </w:rPr>
      </w:pPr>
      <w:r>
        <w:rPr>
          <w:rFonts w:hint="eastAsia" w:hAnsi="宋体"/>
          <w:sz w:val="21"/>
          <w:szCs w:val="21"/>
        </w:rPr>
        <w:t>附件：</w:t>
      </w:r>
    </w:p>
    <w:p w14:paraId="747C8B59">
      <w:pPr>
        <w:snapToGrid w:val="0"/>
        <w:spacing w:line="360" w:lineRule="auto"/>
        <w:ind w:firstLine="420" w:firstLineChars="200"/>
        <w:rPr>
          <w:rFonts w:ascii="宋体" w:hAnsi="宋体"/>
          <w:szCs w:val="21"/>
        </w:rPr>
      </w:pPr>
      <w:r>
        <w:rPr>
          <w:rFonts w:hint="eastAsia" w:ascii="宋体" w:hAnsi="宋体"/>
          <w:szCs w:val="21"/>
        </w:rPr>
        <w:t>1、《中标/成交通知书》</w:t>
      </w:r>
    </w:p>
    <w:p w14:paraId="59B8EC93">
      <w:pPr>
        <w:snapToGrid w:val="0"/>
        <w:spacing w:line="360" w:lineRule="auto"/>
        <w:ind w:firstLine="420" w:firstLineChars="200"/>
        <w:rPr>
          <w:rFonts w:ascii="宋体" w:hAnsi="宋体"/>
          <w:szCs w:val="21"/>
        </w:rPr>
      </w:pPr>
      <w:r>
        <w:rPr>
          <w:rFonts w:hint="eastAsia" w:ascii="宋体" w:hAnsi="宋体"/>
          <w:szCs w:val="21"/>
        </w:rPr>
        <w:t>2、《投标文件》</w:t>
      </w:r>
    </w:p>
    <w:p w14:paraId="71753815">
      <w:pPr>
        <w:snapToGrid w:val="0"/>
        <w:spacing w:line="360" w:lineRule="auto"/>
        <w:ind w:firstLine="420" w:firstLineChars="200"/>
        <w:rPr>
          <w:rFonts w:ascii="宋体" w:hAnsi="宋体"/>
          <w:szCs w:val="21"/>
        </w:rPr>
      </w:pPr>
      <w:r>
        <w:rPr>
          <w:rFonts w:hint="eastAsia" w:ascii="宋体" w:hAnsi="宋体"/>
          <w:szCs w:val="21"/>
        </w:rPr>
        <w:t>3、《招标文件》</w:t>
      </w:r>
    </w:p>
    <w:p w14:paraId="71833409">
      <w:pPr>
        <w:snapToGrid w:val="0"/>
        <w:spacing w:line="360" w:lineRule="auto"/>
        <w:rPr>
          <w:rFonts w:ascii="宋体" w:hAnsi="宋体"/>
          <w:szCs w:val="21"/>
        </w:rPr>
      </w:pPr>
    </w:p>
    <w:p w14:paraId="2F20B2E1">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591F2895">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57338325">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6B28A0A9">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2778A3">
      <w:pPr>
        <w:ind w:firstLine="420" w:firstLineChars="200"/>
        <w:rPr>
          <w:rFonts w:ascii="宋体" w:hAnsi="宋体"/>
          <w:szCs w:val="21"/>
        </w:rPr>
      </w:pPr>
    </w:p>
    <w:p w14:paraId="546D46AB">
      <w:pPr>
        <w:ind w:firstLine="420" w:firstLineChars="200"/>
        <w:rPr>
          <w:rFonts w:ascii="宋体" w:hAnsi="宋体"/>
          <w:szCs w:val="21"/>
        </w:rPr>
      </w:pPr>
    </w:p>
    <w:p w14:paraId="682DC644">
      <w:pPr>
        <w:keepNext/>
        <w:keepLines/>
        <w:spacing w:before="260" w:after="260"/>
        <w:jc w:val="center"/>
        <w:outlineLvl w:val="2"/>
        <w:rPr>
          <w:rFonts w:ascii="宋体" w:hAnsi="宋体"/>
          <w:szCs w:val="21"/>
        </w:rPr>
      </w:pPr>
    </w:p>
    <w:p w14:paraId="0B62105D">
      <w:pPr>
        <w:keepNext/>
        <w:keepLines/>
        <w:spacing w:before="260" w:after="260"/>
        <w:jc w:val="center"/>
        <w:outlineLvl w:val="2"/>
        <w:rPr>
          <w:rFonts w:ascii="宋体" w:hAnsi="宋体"/>
          <w:szCs w:val="21"/>
        </w:rPr>
      </w:pPr>
    </w:p>
    <w:p w14:paraId="26D2DEF0">
      <w:pPr>
        <w:keepNext/>
        <w:keepLines/>
        <w:spacing w:before="260" w:after="260"/>
        <w:jc w:val="center"/>
        <w:outlineLvl w:val="2"/>
        <w:rPr>
          <w:rFonts w:ascii="宋体" w:hAnsi="宋体"/>
          <w:szCs w:val="21"/>
        </w:rPr>
      </w:pPr>
    </w:p>
    <w:p w14:paraId="5BFE15AF">
      <w:pPr>
        <w:keepNext/>
        <w:keepLines/>
        <w:spacing w:before="260" w:after="260"/>
        <w:jc w:val="center"/>
        <w:outlineLvl w:val="2"/>
        <w:rPr>
          <w:rFonts w:ascii="宋体" w:hAnsi="宋体"/>
          <w:szCs w:val="21"/>
        </w:rPr>
      </w:pPr>
    </w:p>
    <w:p w14:paraId="14D7659A">
      <w:pPr>
        <w:keepNext/>
        <w:keepLines/>
        <w:spacing w:before="260" w:after="260"/>
        <w:jc w:val="center"/>
        <w:outlineLvl w:val="2"/>
        <w:rPr>
          <w:rFonts w:ascii="宋体" w:hAnsi="宋体"/>
          <w:szCs w:val="21"/>
        </w:rPr>
      </w:pPr>
    </w:p>
    <w:p w14:paraId="73D5C0FB">
      <w:pPr>
        <w:keepNext/>
        <w:keepLines/>
        <w:spacing w:before="260" w:after="260"/>
        <w:jc w:val="center"/>
        <w:outlineLvl w:val="2"/>
        <w:rPr>
          <w:rFonts w:ascii="宋体" w:hAnsi="宋体"/>
          <w:szCs w:val="21"/>
        </w:rPr>
      </w:pPr>
    </w:p>
    <w:p w14:paraId="3BE0FF24">
      <w:pPr>
        <w:keepNext/>
        <w:keepLines/>
        <w:spacing w:before="260" w:after="260"/>
        <w:jc w:val="center"/>
        <w:outlineLvl w:val="2"/>
        <w:rPr>
          <w:rFonts w:ascii="宋体" w:hAnsi="宋体"/>
          <w:szCs w:val="21"/>
        </w:rPr>
      </w:pPr>
    </w:p>
    <w:p w14:paraId="1724DB0F">
      <w:pPr>
        <w:keepNext/>
        <w:keepLines/>
        <w:spacing w:before="260" w:after="260"/>
        <w:jc w:val="center"/>
        <w:outlineLvl w:val="2"/>
        <w:rPr>
          <w:rFonts w:ascii="宋体" w:hAnsi="宋体"/>
          <w:szCs w:val="21"/>
        </w:rPr>
      </w:pPr>
    </w:p>
    <w:p w14:paraId="56916C49">
      <w:pPr>
        <w:keepNext/>
        <w:keepLines/>
        <w:spacing w:before="260" w:after="260"/>
        <w:jc w:val="center"/>
        <w:outlineLvl w:val="2"/>
        <w:rPr>
          <w:rFonts w:ascii="宋体" w:hAnsi="宋体"/>
          <w:szCs w:val="21"/>
        </w:rPr>
      </w:pPr>
    </w:p>
    <w:p w14:paraId="612C8F29">
      <w:pPr>
        <w:widowControl/>
        <w:jc w:val="left"/>
        <w:rPr>
          <w:rFonts w:ascii="宋体" w:hAnsi="宋体"/>
          <w:b/>
          <w:szCs w:val="21"/>
        </w:rPr>
      </w:pPr>
      <w:r>
        <w:rPr>
          <w:bCs/>
          <w:szCs w:val="21"/>
        </w:rPr>
        <w:br w:type="page"/>
      </w:r>
    </w:p>
    <w:p w14:paraId="2B560A7D">
      <w:pPr>
        <w:pStyle w:val="4"/>
        <w:spacing w:before="0"/>
        <w:jc w:val="center"/>
        <w:rPr>
          <w:rFonts w:ascii="黑体" w:eastAsia="黑体"/>
          <w:b w:val="0"/>
          <w:sz w:val="24"/>
          <w:szCs w:val="24"/>
        </w:rPr>
      </w:pPr>
      <w:r>
        <w:rPr>
          <w:rFonts w:hint="eastAsia" w:ascii="黑体" w:eastAsia="黑体"/>
          <w:b w:val="0"/>
          <w:sz w:val="24"/>
          <w:szCs w:val="24"/>
        </w:rPr>
        <w:t>二、政府采购履约情况反馈表</w:t>
      </w:r>
    </w:p>
    <w:p w14:paraId="636B4D40">
      <w:pPr>
        <w:spacing w:line="240" w:lineRule="atLeast"/>
        <w:rPr>
          <w:rFonts w:ascii="宋体" w:hAnsi="宋体"/>
          <w:b/>
          <w:szCs w:val="21"/>
        </w:rPr>
      </w:pPr>
      <w:r>
        <w:rPr>
          <w:rFonts w:hint="eastAsia" w:ascii="宋体" w:hAnsi="宋体"/>
          <w:b/>
          <w:szCs w:val="21"/>
        </w:rPr>
        <w:t>采购人名称：                       联系人及电话：</w:t>
      </w:r>
    </w:p>
    <w:p w14:paraId="59D16232">
      <w:pPr>
        <w:spacing w:line="60" w:lineRule="exact"/>
        <w:rPr>
          <w:rFonts w:ascii="宋体" w:hAnsi="宋体"/>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14:paraId="2474B7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14:paraId="45329A73">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14:paraId="1DB8195A">
            <w:pPr>
              <w:spacing w:line="240" w:lineRule="atLeast"/>
              <w:jc w:val="center"/>
              <w:rPr>
                <w:rFonts w:ascii="宋体" w:hAnsi="宋体"/>
                <w:szCs w:val="21"/>
              </w:rPr>
            </w:pPr>
          </w:p>
        </w:tc>
        <w:tc>
          <w:tcPr>
            <w:tcW w:w="1980" w:type="dxa"/>
            <w:vAlign w:val="center"/>
          </w:tcPr>
          <w:p w14:paraId="77615645">
            <w:pPr>
              <w:spacing w:line="240" w:lineRule="atLeast"/>
              <w:jc w:val="center"/>
              <w:rPr>
                <w:rFonts w:ascii="宋体" w:hAnsi="宋体"/>
                <w:szCs w:val="21"/>
              </w:rPr>
            </w:pPr>
            <w:r>
              <w:rPr>
                <w:rFonts w:hint="eastAsia" w:ascii="宋体" w:hAnsi="宋体"/>
                <w:szCs w:val="21"/>
              </w:rPr>
              <w:t>项目编号</w:t>
            </w:r>
          </w:p>
        </w:tc>
        <w:tc>
          <w:tcPr>
            <w:tcW w:w="2135" w:type="dxa"/>
            <w:vAlign w:val="center"/>
          </w:tcPr>
          <w:p w14:paraId="190518F4">
            <w:pPr>
              <w:spacing w:line="240" w:lineRule="atLeast"/>
              <w:jc w:val="center"/>
              <w:rPr>
                <w:rFonts w:ascii="宋体" w:hAnsi="宋体"/>
                <w:szCs w:val="21"/>
              </w:rPr>
            </w:pPr>
          </w:p>
        </w:tc>
      </w:tr>
      <w:tr w14:paraId="7AAE8C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14:paraId="5FCADD3F">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14:paraId="0C96782B">
            <w:pPr>
              <w:spacing w:line="240" w:lineRule="atLeast"/>
              <w:jc w:val="center"/>
              <w:rPr>
                <w:rFonts w:ascii="宋体" w:hAnsi="宋体"/>
                <w:szCs w:val="21"/>
              </w:rPr>
            </w:pPr>
          </w:p>
        </w:tc>
        <w:tc>
          <w:tcPr>
            <w:tcW w:w="1980" w:type="dxa"/>
            <w:vAlign w:val="center"/>
          </w:tcPr>
          <w:p w14:paraId="57B4C207">
            <w:pPr>
              <w:spacing w:line="240" w:lineRule="atLeast"/>
              <w:jc w:val="center"/>
              <w:rPr>
                <w:rFonts w:ascii="宋体" w:hAnsi="宋体"/>
                <w:szCs w:val="21"/>
              </w:rPr>
            </w:pPr>
            <w:r>
              <w:rPr>
                <w:rFonts w:hint="eastAsia" w:ascii="宋体" w:hAnsi="宋体"/>
                <w:szCs w:val="21"/>
              </w:rPr>
              <w:t>供应商</w:t>
            </w:r>
          </w:p>
          <w:p w14:paraId="02C5BDB4">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14:paraId="226B0E87">
            <w:pPr>
              <w:spacing w:line="240" w:lineRule="atLeast"/>
              <w:jc w:val="center"/>
              <w:rPr>
                <w:rFonts w:ascii="宋体" w:hAnsi="宋体"/>
                <w:szCs w:val="21"/>
              </w:rPr>
            </w:pPr>
          </w:p>
        </w:tc>
      </w:tr>
      <w:tr w14:paraId="61C874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14:paraId="5D009E73">
            <w:pPr>
              <w:spacing w:line="240" w:lineRule="atLeast"/>
              <w:jc w:val="center"/>
              <w:rPr>
                <w:rFonts w:ascii="宋体" w:hAnsi="宋体"/>
                <w:szCs w:val="21"/>
              </w:rPr>
            </w:pPr>
            <w:r>
              <w:rPr>
                <w:rFonts w:hint="eastAsia" w:ascii="宋体" w:hAnsi="宋体"/>
                <w:szCs w:val="21"/>
              </w:rPr>
              <w:t>中标金额</w:t>
            </w:r>
          </w:p>
        </w:tc>
        <w:tc>
          <w:tcPr>
            <w:tcW w:w="2520" w:type="dxa"/>
            <w:vAlign w:val="center"/>
          </w:tcPr>
          <w:p w14:paraId="478B4F66">
            <w:pPr>
              <w:spacing w:line="240" w:lineRule="atLeast"/>
              <w:jc w:val="center"/>
              <w:rPr>
                <w:rFonts w:ascii="宋体" w:hAnsi="宋体"/>
                <w:szCs w:val="21"/>
              </w:rPr>
            </w:pPr>
          </w:p>
        </w:tc>
        <w:tc>
          <w:tcPr>
            <w:tcW w:w="1980" w:type="dxa"/>
            <w:vAlign w:val="center"/>
          </w:tcPr>
          <w:p w14:paraId="5E9BFB3A">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14:paraId="22BA939B">
            <w:pPr>
              <w:spacing w:line="240" w:lineRule="atLeast"/>
              <w:rPr>
                <w:rFonts w:ascii="宋体" w:hAnsi="宋体"/>
                <w:szCs w:val="21"/>
              </w:rPr>
            </w:pPr>
            <w:r>
              <w:rPr>
                <w:rFonts w:hint="eastAsia" w:ascii="宋体" w:hAnsi="宋体"/>
                <w:szCs w:val="21"/>
              </w:rPr>
              <w:t>自       至</w:t>
            </w:r>
          </w:p>
        </w:tc>
      </w:tr>
      <w:tr w14:paraId="483D2C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14:paraId="5FF15ED1">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14:paraId="4E5624B0">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14:paraId="20EA52FB">
            <w:pPr>
              <w:spacing w:line="240" w:lineRule="atLeast"/>
              <w:ind w:firstLine="105" w:firstLineChars="50"/>
              <w:jc w:val="center"/>
              <w:rPr>
                <w:rFonts w:ascii="宋体" w:hAnsi="宋体"/>
                <w:szCs w:val="21"/>
              </w:rPr>
            </w:pPr>
            <w:r>
              <w:rPr>
                <w:rFonts w:hint="eastAsia" w:ascii="宋体" w:hAnsi="宋体"/>
                <w:szCs w:val="21"/>
              </w:rPr>
              <w:t>□ 优          □ 良          □ 中           □ 差</w:t>
            </w:r>
          </w:p>
        </w:tc>
      </w:tr>
      <w:tr w14:paraId="07F9C7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0AB284CA">
            <w:pPr>
              <w:spacing w:line="240" w:lineRule="atLeast"/>
              <w:jc w:val="center"/>
              <w:rPr>
                <w:rFonts w:ascii="宋体" w:hAnsi="宋体"/>
                <w:szCs w:val="21"/>
              </w:rPr>
            </w:pPr>
          </w:p>
        </w:tc>
        <w:tc>
          <w:tcPr>
            <w:tcW w:w="720" w:type="dxa"/>
            <w:vMerge w:val="restart"/>
            <w:tcBorders>
              <w:right w:val="single" w:color="auto" w:sz="4" w:space="0"/>
            </w:tcBorders>
            <w:vAlign w:val="center"/>
          </w:tcPr>
          <w:p w14:paraId="453252F4">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14:paraId="4913A4AB">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14:paraId="00CC63CD">
            <w:pPr>
              <w:spacing w:line="240" w:lineRule="atLeast"/>
              <w:jc w:val="center"/>
              <w:rPr>
                <w:rFonts w:ascii="宋体" w:hAnsi="宋体"/>
                <w:szCs w:val="21"/>
              </w:rPr>
            </w:pPr>
            <w:r>
              <w:rPr>
                <w:rFonts w:hint="eastAsia" w:ascii="宋体" w:hAnsi="宋体"/>
                <w:szCs w:val="21"/>
              </w:rPr>
              <w:t xml:space="preserve"> □ 优          □ 良          □ 中           □ 差</w:t>
            </w:r>
          </w:p>
        </w:tc>
      </w:tr>
      <w:tr w14:paraId="3514CD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5C576A5">
            <w:pPr>
              <w:spacing w:line="240" w:lineRule="atLeast"/>
              <w:jc w:val="center"/>
              <w:rPr>
                <w:rFonts w:ascii="宋体" w:hAnsi="宋体"/>
                <w:szCs w:val="21"/>
              </w:rPr>
            </w:pPr>
          </w:p>
        </w:tc>
        <w:tc>
          <w:tcPr>
            <w:tcW w:w="720" w:type="dxa"/>
            <w:vMerge w:val="continue"/>
            <w:tcBorders>
              <w:right w:val="single" w:color="auto" w:sz="4" w:space="0"/>
            </w:tcBorders>
            <w:vAlign w:val="center"/>
          </w:tcPr>
          <w:p w14:paraId="094CE00C">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6FAAE94D">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14:paraId="2883F7AC">
            <w:pPr>
              <w:spacing w:line="240" w:lineRule="atLeast"/>
              <w:jc w:val="center"/>
              <w:rPr>
                <w:rFonts w:ascii="宋体" w:hAnsi="宋体"/>
                <w:szCs w:val="21"/>
              </w:rPr>
            </w:pPr>
            <w:r>
              <w:rPr>
                <w:rFonts w:hint="eastAsia" w:ascii="宋体" w:hAnsi="宋体"/>
                <w:szCs w:val="21"/>
              </w:rPr>
              <w:t xml:space="preserve"> □ 优          □ 良          □ 中           □ 差</w:t>
            </w:r>
          </w:p>
        </w:tc>
      </w:tr>
      <w:tr w14:paraId="7D87B5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31CBE5A3">
            <w:pPr>
              <w:spacing w:line="240" w:lineRule="atLeast"/>
              <w:jc w:val="center"/>
              <w:rPr>
                <w:rFonts w:ascii="宋体" w:hAnsi="宋体"/>
                <w:szCs w:val="21"/>
              </w:rPr>
            </w:pPr>
          </w:p>
        </w:tc>
        <w:tc>
          <w:tcPr>
            <w:tcW w:w="720" w:type="dxa"/>
            <w:vMerge w:val="continue"/>
            <w:tcBorders>
              <w:right w:val="single" w:color="auto" w:sz="4" w:space="0"/>
            </w:tcBorders>
            <w:vAlign w:val="center"/>
          </w:tcPr>
          <w:p w14:paraId="4F706AC7">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4541826">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14:paraId="2E1B8932">
            <w:pPr>
              <w:spacing w:line="240" w:lineRule="atLeast"/>
              <w:jc w:val="center"/>
              <w:rPr>
                <w:rFonts w:ascii="宋体" w:hAnsi="宋体"/>
                <w:szCs w:val="21"/>
              </w:rPr>
            </w:pPr>
            <w:r>
              <w:rPr>
                <w:rFonts w:hint="eastAsia" w:ascii="宋体" w:hAnsi="宋体"/>
                <w:szCs w:val="21"/>
              </w:rPr>
              <w:t xml:space="preserve"> □ 优          □ 良          □ 中           □ 差</w:t>
            </w:r>
          </w:p>
        </w:tc>
      </w:tr>
      <w:tr w14:paraId="71DE00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657B8238">
            <w:pPr>
              <w:spacing w:line="240" w:lineRule="atLeast"/>
              <w:jc w:val="center"/>
              <w:rPr>
                <w:rFonts w:ascii="宋体" w:hAnsi="宋体"/>
                <w:szCs w:val="21"/>
              </w:rPr>
            </w:pPr>
          </w:p>
        </w:tc>
        <w:tc>
          <w:tcPr>
            <w:tcW w:w="720" w:type="dxa"/>
            <w:vMerge w:val="continue"/>
            <w:tcBorders>
              <w:right w:val="single" w:color="auto" w:sz="4" w:space="0"/>
            </w:tcBorders>
            <w:vAlign w:val="center"/>
          </w:tcPr>
          <w:p w14:paraId="39EDC40F">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2A4983F">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14:paraId="04DD1BDE">
            <w:pPr>
              <w:spacing w:line="240" w:lineRule="atLeast"/>
              <w:jc w:val="center"/>
              <w:rPr>
                <w:rFonts w:ascii="宋体" w:hAnsi="宋体"/>
                <w:szCs w:val="21"/>
              </w:rPr>
            </w:pPr>
            <w:r>
              <w:rPr>
                <w:rFonts w:hint="eastAsia" w:ascii="宋体" w:hAnsi="宋体"/>
                <w:szCs w:val="21"/>
              </w:rPr>
              <w:t xml:space="preserve"> □ 优          □ 良          □ 中           □ 差</w:t>
            </w:r>
          </w:p>
        </w:tc>
      </w:tr>
      <w:tr w14:paraId="3E1886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4E601484">
            <w:pPr>
              <w:spacing w:line="240" w:lineRule="atLeast"/>
              <w:jc w:val="center"/>
              <w:rPr>
                <w:rFonts w:ascii="宋体" w:hAnsi="宋体"/>
                <w:szCs w:val="21"/>
              </w:rPr>
            </w:pPr>
          </w:p>
        </w:tc>
        <w:tc>
          <w:tcPr>
            <w:tcW w:w="720" w:type="dxa"/>
            <w:vMerge w:val="continue"/>
            <w:tcBorders>
              <w:right w:val="single" w:color="auto" w:sz="4" w:space="0"/>
            </w:tcBorders>
            <w:vAlign w:val="center"/>
          </w:tcPr>
          <w:p w14:paraId="03D99A73">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753DC93F">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14:paraId="1EBD70F5">
            <w:pPr>
              <w:spacing w:line="240" w:lineRule="atLeast"/>
              <w:jc w:val="center"/>
              <w:rPr>
                <w:rFonts w:ascii="宋体" w:hAnsi="宋体"/>
                <w:szCs w:val="21"/>
              </w:rPr>
            </w:pPr>
            <w:r>
              <w:rPr>
                <w:rFonts w:hint="eastAsia" w:ascii="宋体" w:hAnsi="宋体"/>
                <w:szCs w:val="21"/>
              </w:rPr>
              <w:t xml:space="preserve"> □ 优          □ 良          □ 中           □ 差</w:t>
            </w:r>
          </w:p>
        </w:tc>
      </w:tr>
      <w:tr w14:paraId="0A0059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14:paraId="7BE90246">
            <w:pPr>
              <w:spacing w:line="240" w:lineRule="atLeast"/>
              <w:jc w:val="center"/>
              <w:rPr>
                <w:rFonts w:ascii="宋体" w:hAnsi="宋体"/>
                <w:szCs w:val="21"/>
              </w:rPr>
            </w:pPr>
          </w:p>
        </w:tc>
        <w:tc>
          <w:tcPr>
            <w:tcW w:w="720" w:type="dxa"/>
            <w:vMerge w:val="continue"/>
            <w:tcBorders>
              <w:right w:val="single" w:color="auto" w:sz="4" w:space="0"/>
            </w:tcBorders>
            <w:vAlign w:val="center"/>
          </w:tcPr>
          <w:p w14:paraId="40119A81">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14:paraId="256D26A3">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14:paraId="1B839F8C">
            <w:pPr>
              <w:spacing w:beforeLines="5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14:paraId="3BFE9435">
            <w:pPr>
              <w:spacing w:beforeLines="50" w:afterLines="50" w:line="240" w:lineRule="atLeast"/>
              <w:rPr>
                <w:rFonts w:ascii="宋体" w:hAnsi="宋体"/>
                <w:szCs w:val="21"/>
              </w:rPr>
            </w:pPr>
            <w:r>
              <w:rPr>
                <w:rFonts w:hint="eastAsia" w:ascii="宋体" w:hAnsi="宋体"/>
                <w:szCs w:val="21"/>
              </w:rPr>
              <w:t>评价等级为：  □ 优       □ 良        □ 中         □ 差</w:t>
            </w:r>
          </w:p>
        </w:tc>
      </w:tr>
      <w:tr w14:paraId="2C8D14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14:paraId="23FA3816">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14:paraId="297F394A">
            <w:pPr>
              <w:spacing w:line="240" w:lineRule="atLeast"/>
              <w:rPr>
                <w:rFonts w:ascii="宋体" w:hAnsi="宋体"/>
                <w:szCs w:val="21"/>
              </w:rPr>
            </w:pPr>
          </w:p>
          <w:p w14:paraId="62B89C98">
            <w:pPr>
              <w:spacing w:line="240" w:lineRule="atLeast"/>
              <w:rPr>
                <w:rFonts w:ascii="宋体" w:hAnsi="宋体"/>
                <w:szCs w:val="21"/>
              </w:rPr>
            </w:pPr>
          </w:p>
          <w:p w14:paraId="6916AD55">
            <w:pPr>
              <w:spacing w:line="240" w:lineRule="atLeast"/>
              <w:rPr>
                <w:rFonts w:ascii="宋体" w:hAnsi="宋体"/>
                <w:szCs w:val="21"/>
              </w:rPr>
            </w:pPr>
          </w:p>
          <w:p w14:paraId="70DD4F8F">
            <w:pPr>
              <w:spacing w:line="240" w:lineRule="atLeast"/>
              <w:rPr>
                <w:rFonts w:ascii="宋体" w:hAnsi="宋体"/>
                <w:szCs w:val="21"/>
              </w:rPr>
            </w:pPr>
          </w:p>
          <w:p w14:paraId="492A92F5">
            <w:pPr>
              <w:spacing w:line="240" w:lineRule="atLeast"/>
              <w:rPr>
                <w:rFonts w:ascii="宋体" w:hAnsi="宋体"/>
                <w:szCs w:val="21"/>
              </w:rPr>
            </w:pPr>
          </w:p>
          <w:p w14:paraId="2C7EE866">
            <w:pPr>
              <w:spacing w:line="240" w:lineRule="atLeast"/>
              <w:rPr>
                <w:rFonts w:ascii="宋体" w:hAnsi="宋体"/>
                <w:szCs w:val="21"/>
              </w:rPr>
            </w:pPr>
          </w:p>
          <w:p w14:paraId="0FCBB159">
            <w:pPr>
              <w:spacing w:line="240" w:lineRule="atLeast"/>
              <w:rPr>
                <w:rFonts w:ascii="宋体" w:hAnsi="宋体"/>
                <w:szCs w:val="21"/>
              </w:rPr>
            </w:pPr>
          </w:p>
          <w:p w14:paraId="7ACA2E97">
            <w:pPr>
              <w:spacing w:line="240" w:lineRule="atLeast"/>
              <w:rPr>
                <w:rFonts w:ascii="宋体" w:hAnsi="宋体"/>
                <w:szCs w:val="21"/>
              </w:rPr>
            </w:pPr>
          </w:p>
        </w:tc>
      </w:tr>
      <w:tr w14:paraId="50DB73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1562" w:type="dxa"/>
            <w:gridSpan w:val="2"/>
            <w:vAlign w:val="center"/>
          </w:tcPr>
          <w:p w14:paraId="07727D77">
            <w:pPr>
              <w:spacing w:line="240" w:lineRule="atLeast"/>
              <w:jc w:val="center"/>
              <w:rPr>
                <w:rFonts w:ascii="宋体" w:hAnsi="宋体"/>
                <w:szCs w:val="21"/>
              </w:rPr>
            </w:pPr>
            <w:r>
              <w:rPr>
                <w:rFonts w:hint="eastAsia" w:ascii="宋体" w:hAnsi="宋体"/>
                <w:szCs w:val="21"/>
              </w:rPr>
              <w:t>采购人意见</w:t>
            </w:r>
          </w:p>
          <w:p w14:paraId="72133A30">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14:paraId="444ED1B3">
            <w:pPr>
              <w:spacing w:line="240" w:lineRule="atLeast"/>
              <w:rPr>
                <w:rFonts w:ascii="宋体" w:hAnsi="宋体"/>
                <w:szCs w:val="21"/>
              </w:rPr>
            </w:pPr>
          </w:p>
          <w:p w14:paraId="07BD5378">
            <w:pPr>
              <w:spacing w:line="240" w:lineRule="atLeast"/>
              <w:rPr>
                <w:rFonts w:ascii="宋体" w:hAnsi="宋体"/>
                <w:szCs w:val="21"/>
              </w:rPr>
            </w:pPr>
            <w:r>
              <w:rPr>
                <w:rFonts w:hint="eastAsia" w:ascii="宋体" w:hAnsi="宋体"/>
                <w:szCs w:val="21"/>
              </w:rPr>
              <w:t xml:space="preserve">                                        </w:t>
            </w:r>
          </w:p>
          <w:p w14:paraId="1007B101">
            <w:pPr>
              <w:spacing w:line="240" w:lineRule="atLeast"/>
              <w:ind w:firstLine="3780" w:firstLineChars="1800"/>
              <w:rPr>
                <w:rFonts w:ascii="宋体" w:hAnsi="宋体"/>
                <w:szCs w:val="21"/>
              </w:rPr>
            </w:pPr>
          </w:p>
          <w:p w14:paraId="1788A0A4">
            <w:pPr>
              <w:spacing w:line="240" w:lineRule="atLeast"/>
              <w:ind w:firstLine="3780" w:firstLineChars="1800"/>
              <w:rPr>
                <w:rFonts w:ascii="宋体" w:hAnsi="宋体"/>
                <w:szCs w:val="21"/>
              </w:rPr>
            </w:pPr>
            <w:r>
              <w:rPr>
                <w:rFonts w:hint="eastAsia" w:ascii="宋体" w:hAnsi="宋体"/>
                <w:szCs w:val="21"/>
              </w:rPr>
              <w:t>日期：   年   月   日</w:t>
            </w:r>
          </w:p>
        </w:tc>
      </w:tr>
    </w:tbl>
    <w:p w14:paraId="0F6EDB5C">
      <w:pPr>
        <w:spacing w:line="240" w:lineRule="atLeast"/>
        <w:rPr>
          <w:rFonts w:ascii="宋体" w:hAnsi="宋体"/>
          <w:szCs w:val="21"/>
        </w:rPr>
      </w:pPr>
      <w:r>
        <w:rPr>
          <w:rFonts w:hint="eastAsia" w:ascii="宋体" w:hAnsi="宋体"/>
          <w:szCs w:val="21"/>
        </w:rPr>
        <w:t>说明：</w:t>
      </w:r>
    </w:p>
    <w:p w14:paraId="5BAB8757">
      <w:pPr>
        <w:spacing w:line="240" w:lineRule="atLeast"/>
        <w:rPr>
          <w:rFonts w:ascii="宋体" w:hAnsi="宋体"/>
          <w:szCs w:val="21"/>
        </w:rPr>
      </w:pPr>
      <w:r>
        <w:rPr>
          <w:rFonts w:hint="eastAsia" w:ascii="宋体" w:hAnsi="宋体"/>
          <w:szCs w:val="21"/>
        </w:rPr>
        <w:t>履约情况评价分为优、良、中、差四个等级，请在对应的框前打“√”，然后在“具体情况说明”一栏详细说明有关情况。</w:t>
      </w:r>
      <w:r>
        <w:rPr>
          <w:rFonts w:ascii="宋体" w:hAnsi="宋体"/>
          <w:szCs w:val="21"/>
        </w:rPr>
        <w:tab/>
      </w:r>
      <w:r>
        <w:rPr>
          <w:rFonts w:ascii="宋体" w:hAnsi="宋体"/>
          <w:szCs w:val="21"/>
        </w:rPr>
        <w:tab/>
      </w:r>
    </w:p>
    <w:p w14:paraId="3BB13343">
      <w:pPr>
        <w:spacing w:line="240" w:lineRule="atLeast"/>
        <w:rPr>
          <w:rFonts w:ascii="宋体" w:hAnsi="宋体"/>
          <w:szCs w:val="21"/>
        </w:rPr>
        <w:sectPr>
          <w:footerReference r:id="rId3" w:type="default"/>
          <w:pgSz w:w="11906" w:h="16838"/>
          <w:pgMar w:top="1440" w:right="1417" w:bottom="1440" w:left="1417" w:header="851" w:footer="992" w:gutter="0"/>
          <w:cols w:space="720" w:num="1"/>
          <w:titlePg/>
          <w:docGrid w:type="lines" w:linePitch="312" w:charSpace="0"/>
        </w:sectPr>
      </w:pPr>
    </w:p>
    <w:p w14:paraId="786140EA">
      <w:pPr>
        <w:jc w:val="center"/>
        <w:rPr>
          <w:rFonts w:ascii="宋体" w:hAnsi="宋体"/>
          <w:b/>
          <w:bCs/>
          <w:kern w:val="0"/>
          <w:sz w:val="24"/>
          <w:szCs w:val="20"/>
        </w:rPr>
      </w:pPr>
      <w:r>
        <w:rPr>
          <w:rFonts w:hint="eastAsia" w:ascii="宋体" w:hAnsi="宋体"/>
          <w:b/>
          <w:bCs/>
          <w:kern w:val="0"/>
          <w:sz w:val="24"/>
          <w:szCs w:val="20"/>
        </w:rPr>
        <w:t>第五章  附件</w:t>
      </w:r>
    </w:p>
    <w:p w14:paraId="5AF19A8B">
      <w:pPr>
        <w:jc w:val="center"/>
        <w:rPr>
          <w:rFonts w:ascii="宋体" w:hAnsi="宋体"/>
          <w:b/>
          <w:bCs/>
          <w:kern w:val="0"/>
          <w:sz w:val="24"/>
          <w:szCs w:val="20"/>
        </w:rPr>
      </w:pPr>
    </w:p>
    <w:p w14:paraId="4C75582F">
      <w:pPr>
        <w:pStyle w:val="4"/>
        <w:spacing w:before="0" w:after="0"/>
        <w:jc w:val="center"/>
      </w:pPr>
      <w:bookmarkStart w:id="18" w:name="_Toc73610162"/>
      <w:bookmarkStart w:id="19" w:name="_Toc73613644"/>
      <w:r>
        <w:rPr>
          <w:rFonts w:hint="eastAsia"/>
        </w:rPr>
        <w:t>一、财政部 工业和信息化部关于印发《政府采购促进中小企业发展管理办法》的通知</w:t>
      </w:r>
      <w:bookmarkEnd w:id="18"/>
      <w:bookmarkEnd w:id="19"/>
    </w:p>
    <w:p w14:paraId="41A8C1FE">
      <w:pPr>
        <w:pStyle w:val="37"/>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财库〔2020〕46号</w:t>
      </w:r>
    </w:p>
    <w:p w14:paraId="3273F07D">
      <w:pPr>
        <w:pStyle w:val="37"/>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各中央预算单位办公厅（室），各省、自治区、直辖市、计划单列市财政厅（局）、工业和信息化主管部门，新疆生产建设兵团财政局、工业和信息化主管部门：</w:t>
      </w:r>
    </w:p>
    <w:p w14:paraId="2A1D627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7F4B3D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附件：政府采购促进中小企业发展管理办法</w:t>
      </w:r>
    </w:p>
    <w:p w14:paraId="04DB8F23">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财　　政　　部</w:t>
      </w:r>
    </w:p>
    <w:p w14:paraId="1447179A">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工业和信息化部</w:t>
      </w:r>
    </w:p>
    <w:p w14:paraId="4CBB4F77">
      <w:pPr>
        <w:pStyle w:val="37"/>
        <w:shd w:val="clear" w:color="auto" w:fill="FFFFFF"/>
        <w:spacing w:before="0" w:beforeAutospacing="0" w:after="0" w:afterAutospacing="0" w:line="360" w:lineRule="auto"/>
        <w:jc w:val="right"/>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2020年12月18日</w:t>
      </w:r>
    </w:p>
    <w:p w14:paraId="01B42C5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4C1C9E09">
      <w:pPr>
        <w:pStyle w:val="37"/>
        <w:shd w:val="clear" w:color="auto" w:fill="FFFFFF"/>
        <w:spacing w:before="0" w:beforeAutospacing="0" w:after="0" w:afterAutospacing="0" w:line="360" w:lineRule="auto"/>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附件</w:t>
      </w:r>
    </w:p>
    <w:p w14:paraId="3446B87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780A02DD">
      <w:pPr>
        <w:pStyle w:val="37"/>
        <w:shd w:val="clear" w:color="auto" w:fill="FFFFFF"/>
        <w:spacing w:before="0" w:beforeAutospacing="0" w:after="0" w:afterAutospacing="0" w:line="360" w:lineRule="auto"/>
        <w:jc w:val="center"/>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政府采购促进中小企业发展管理办法</w:t>
      </w:r>
    </w:p>
    <w:p w14:paraId="69421DF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p>
    <w:p w14:paraId="688783A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第一条</w:t>
      </w:r>
      <w:r>
        <w:rPr>
          <w:rFonts w:hint="eastAsia" w:asciiTheme="minorEastAsia" w:hAnsiTheme="minorEastAsia" w:eastAsiaTheme="minorEastAsia"/>
          <w:color w:val="333333"/>
          <w:sz w:val="21"/>
          <w:szCs w:val="21"/>
        </w:rPr>
        <w:t>　为了发挥政府采购的政策功能，促进中小企业健康发展，根据《中华人民共和国政府采购法》、《中华人民共和国中小企业促进法》等有关法律法规，制定本办法。</w:t>
      </w:r>
    </w:p>
    <w:p w14:paraId="280C0EB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第二条</w:t>
      </w:r>
      <w:r>
        <w:rPr>
          <w:rFonts w:hint="eastAsia" w:asciiTheme="minorEastAsia" w:hAnsiTheme="minorEastAsia" w:eastAsiaTheme="minorEastAsia"/>
          <w:color w:val="333333"/>
          <w:sz w:val="21"/>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BC7DD4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符合中小企业划分标准的个体工商户，在政府采购活动中视同中小企业。</w:t>
      </w:r>
    </w:p>
    <w:p w14:paraId="3444D43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第三条</w:t>
      </w:r>
      <w:r>
        <w:rPr>
          <w:rFonts w:hint="eastAsia" w:asciiTheme="minorEastAsia" w:hAnsiTheme="minorEastAsia" w:eastAsiaTheme="minorEastAsia"/>
          <w:color w:val="333333"/>
          <w:sz w:val="21"/>
          <w:szCs w:val="21"/>
        </w:rPr>
        <w:t>　采购人在政府采购活动中应当通过加强采购需求管理，落实预留采购份额、价格评审优惠、优先采购等措施，提高中小企业在政府采购中的份额，支持中小企业发展。</w:t>
      </w:r>
    </w:p>
    <w:p w14:paraId="5BFD5DB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第四条</w:t>
      </w:r>
      <w:r>
        <w:rPr>
          <w:rFonts w:hint="eastAsia" w:asciiTheme="minorEastAsia" w:hAnsiTheme="minorEastAsia" w:eastAsiaTheme="minorEastAsia"/>
          <w:color w:val="333333"/>
          <w:sz w:val="21"/>
          <w:szCs w:val="21"/>
        </w:rPr>
        <w:t>　在政府采购活动中，供应商提供的货物、工程或者服务符合下列情形的，享受本办法规定的中小企业扶持政策：</w:t>
      </w:r>
    </w:p>
    <w:p w14:paraId="2919430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（一）在货物采购项目中，货物由中小企业制造，即货物由中小企业生产且使用该中小企业商号或者注册商标；</w:t>
      </w:r>
    </w:p>
    <w:p w14:paraId="5AAF7F8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（二）在工程采购项目中，工程由中小企业承建，即工程施工单位为中小企业；</w:t>
      </w:r>
    </w:p>
    <w:p w14:paraId="43B4CDC9">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（三）在服务采购项目中，服务由中小企业承接，即提供服务的人员为中小企业依照《中华人民共和国劳动合同法》订立劳动合同的从业人员。</w:t>
      </w:r>
    </w:p>
    <w:p w14:paraId="6E5BC30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在货物采购项目中，供应商提供的货物既有中小企业制造货物，也有大型企业制造货物的，不享受本办法规定的中小企业扶持政策。</w:t>
      </w:r>
    </w:p>
    <w:p w14:paraId="7816AD2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以联合体形式参加政府采购活动，联合体各方均为中小企业的，联合体视同中小企业。其中，联合体各方均为小微企业的，联合体视同小微企业。</w:t>
      </w:r>
    </w:p>
    <w:p w14:paraId="5116734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第五条</w:t>
      </w:r>
      <w:r>
        <w:rPr>
          <w:rFonts w:hint="eastAsia" w:asciiTheme="minorEastAsia" w:hAnsiTheme="minorEastAsia" w:eastAsiaTheme="minorEastAsia"/>
          <w:color w:val="333333"/>
          <w:sz w:val="21"/>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765EB74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第六条</w:t>
      </w:r>
      <w:r>
        <w:rPr>
          <w:rFonts w:hint="eastAsia" w:asciiTheme="minorEastAsia" w:hAnsiTheme="minorEastAsia" w:eastAsiaTheme="minorEastAsia"/>
          <w:color w:val="333333"/>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2DCD578">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符合下列情形之一的，可不专门面向中小企业预留采购份额：</w:t>
      </w:r>
    </w:p>
    <w:p w14:paraId="0F9867D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（一）法律法规和国家有关政策明确规定优先或者应当面向事业单位、社会组织等非企业主体采购的；</w:t>
      </w:r>
    </w:p>
    <w:p w14:paraId="2425343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（二）因确需使用不可替代的专利、专有技术，基础设施限制，或者提供特定公共服务等原因，只能从中小企业之外的供应商处采购的；</w:t>
      </w:r>
    </w:p>
    <w:p w14:paraId="331AA11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（三）按照本办法规定预留采购份额无法确保充分供应、充分竞争，或者存在可能影响政府采购目标实现的情形；</w:t>
      </w:r>
    </w:p>
    <w:p w14:paraId="35CF293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（四）框架协议采购项目；</w:t>
      </w:r>
    </w:p>
    <w:p w14:paraId="0D20D38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（五）省级以上人民政府财政部门规定的其他情形。</w:t>
      </w:r>
    </w:p>
    <w:p w14:paraId="779194CD">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除上述情形外，其他均为适宜由中小企业提供的情形。</w:t>
      </w:r>
    </w:p>
    <w:p w14:paraId="746A2EC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第七条</w:t>
      </w:r>
      <w:r>
        <w:rPr>
          <w:rFonts w:hint="eastAsia" w:asciiTheme="minorEastAsia" w:hAnsiTheme="minorEastAsia" w:eastAsiaTheme="minorEastAsia"/>
          <w:color w:val="333333"/>
          <w:sz w:val="21"/>
          <w:szCs w:val="21"/>
        </w:rPr>
        <w:t>　采购限额标准以上，200万元以下的货物和服务采购项目、400万元以下的工程采购项目，适宜由中小企业提供的，采购人应当专门面向中小企业采购。</w:t>
      </w:r>
    </w:p>
    <w:p w14:paraId="3AFF35D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第八条</w:t>
      </w:r>
      <w:r>
        <w:rPr>
          <w:rFonts w:hint="eastAsia" w:asciiTheme="minorEastAsia" w:hAnsiTheme="minorEastAsia" w:eastAsiaTheme="minorEastAsia"/>
          <w:color w:val="333333"/>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4E745ECD">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（一）将采购项目整体或者设置采购包专门面向中小企业采购；</w:t>
      </w:r>
    </w:p>
    <w:p w14:paraId="62B2AE0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（二）要求供应商以联合体形式参加采购活动，且联合体中中小企业承担的部分达到一定比例；</w:t>
      </w:r>
    </w:p>
    <w:p w14:paraId="60B981A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（三）要求获得采购合同的供应商将采购项目中的一定比例分包给一家或者多家中小企业。</w:t>
      </w:r>
    </w:p>
    <w:p w14:paraId="55BAA92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组成联合体或者接受分包合同的中小企业与联合体内其他企业、分包企业之间不得存在直接控股、管理关系。</w:t>
      </w:r>
    </w:p>
    <w:p w14:paraId="291AB9E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第九条</w:t>
      </w:r>
      <w:r>
        <w:rPr>
          <w:rFonts w:hint="eastAsia" w:asciiTheme="minorEastAsia" w:hAnsiTheme="minorEastAsia" w:eastAsiaTheme="minorEastAsia"/>
          <w:color w:val="333333"/>
          <w:sz w:val="21"/>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820052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494DA3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1EFB4AE0">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第十条</w:t>
      </w:r>
      <w:r>
        <w:rPr>
          <w:rFonts w:hint="eastAsia" w:asciiTheme="minorEastAsia" w:hAnsiTheme="minorEastAsia" w:eastAsiaTheme="minorEastAsia"/>
          <w:color w:val="333333"/>
          <w:sz w:val="21"/>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01FB4E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第十一条</w:t>
      </w:r>
      <w:r>
        <w:rPr>
          <w:rFonts w:hint="eastAsia" w:asciiTheme="minorEastAsia" w:hAnsiTheme="minorEastAsia" w:eastAsiaTheme="minorEastAsia"/>
          <w:color w:val="333333"/>
          <w:sz w:val="21"/>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BFA559">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第十二条</w:t>
      </w:r>
      <w:r>
        <w:rPr>
          <w:rFonts w:hint="eastAsia" w:asciiTheme="minorEastAsia" w:hAnsiTheme="minorEastAsia" w:eastAsiaTheme="minorEastAsia"/>
          <w:color w:val="333333"/>
          <w:sz w:val="21"/>
          <w:szCs w:val="21"/>
        </w:rPr>
        <w:t>　采购项目涉及中小企业采购的，采购文件应当明确以下内容：</w:t>
      </w:r>
    </w:p>
    <w:p w14:paraId="55CF59AF">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（一）预留份额的采购项目或者采购包，明确该项目或相关采购包专门面向中小企业采购，以及相关标的及预算金额；</w:t>
      </w:r>
    </w:p>
    <w:p w14:paraId="415A8B8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（二）要求以联合体形式参加或者合同分包的，明确联合协议或者分包意向协议中中小企业合同金额应当达到的比例，并作为供应商资格条件；</w:t>
      </w:r>
    </w:p>
    <w:p w14:paraId="13E9FF75">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（三）非预留份额的采购项目或者采购包，明确有关价格扣除比例或者价格分加分比例；</w:t>
      </w:r>
    </w:p>
    <w:p w14:paraId="10D82E8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（四）规定依据本办法规定享受扶持政策获得政府采购合同的，小微企业不得将合同分包给大中型企业，中型企业不得将合同分包给大型企业；</w:t>
      </w:r>
    </w:p>
    <w:p w14:paraId="2D8AF001">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（五）采购人认为具备相关条件的，明确对中小企业在资金支付期限、预付款比例等方面的优惠措施；</w:t>
      </w:r>
    </w:p>
    <w:p w14:paraId="33B9254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（六）明确采购标的对应的中小企业划分标准所属行业；</w:t>
      </w:r>
    </w:p>
    <w:p w14:paraId="722D189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（七）法律法规和省级以上人民政府财政部门规定的其他事项。</w:t>
      </w:r>
    </w:p>
    <w:p w14:paraId="4C34B8A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第十三条</w:t>
      </w:r>
      <w:r>
        <w:rPr>
          <w:rFonts w:hint="eastAsia" w:asciiTheme="minorEastAsia" w:hAnsiTheme="minorEastAsia" w:eastAsiaTheme="minorEastAsia"/>
          <w:color w:val="333333"/>
          <w:sz w:val="21"/>
          <w:szCs w:val="21"/>
        </w:rPr>
        <w:t>　中标、成交供应商享受本办法规定的中小企业扶持政策的，采购人、采购代理机构应当随中标、成交结果公开中标、成交供应商的《中小企业声明函》。</w:t>
      </w:r>
    </w:p>
    <w:p w14:paraId="7C593D6B">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适用招标投标法的政府采购工程建设项目，应当在公示中标候选人时公开中标候选人的《中小企业声明函》。</w:t>
      </w:r>
    </w:p>
    <w:p w14:paraId="23A0A0B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第十四条</w:t>
      </w:r>
      <w:r>
        <w:rPr>
          <w:rFonts w:hint="eastAsia" w:asciiTheme="minorEastAsia" w:hAnsiTheme="minorEastAsia" w:eastAsiaTheme="minorEastAsia"/>
          <w:color w:val="333333"/>
          <w:sz w:val="21"/>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5768812">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第十五条</w:t>
      </w:r>
      <w:r>
        <w:rPr>
          <w:rFonts w:hint="eastAsia" w:asciiTheme="minorEastAsia" w:hAnsiTheme="minorEastAsia" w:eastAsiaTheme="minorEastAsia"/>
          <w:color w:val="333333"/>
          <w:sz w:val="21"/>
          <w:szCs w:val="21"/>
        </w:rPr>
        <w:t>　鼓励各地区、各部门在采购活动中允许中小企业引入信用担保手段，为中小企业在投标（响应）保证、履约保证等方面提供专业化服务。鼓励中小企业依法合规通过政府采购合同融资。</w:t>
      </w:r>
    </w:p>
    <w:p w14:paraId="5EDEC5A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第十六条</w:t>
      </w:r>
      <w:r>
        <w:rPr>
          <w:rFonts w:hint="eastAsia" w:asciiTheme="minorEastAsia" w:hAnsiTheme="minorEastAsia" w:eastAsiaTheme="minorEastAsia"/>
          <w:color w:val="333333"/>
          <w:sz w:val="21"/>
          <w:szCs w:val="21"/>
        </w:rPr>
        <w:t>　政府采购监督检查、投诉处理及政府采购行政处罚中对中小企业的认定，由货物制造商或者工程、服务供应商注册登记所在地的县级以上人民政府中小企业主管部门负责。</w:t>
      </w:r>
    </w:p>
    <w:p w14:paraId="02EB47C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中小企业主管部门应当在收到财政部门或者有关招标投标行政监督部门关于协助开展中小企业认定函后10个工作日内做出书面答复。</w:t>
      </w:r>
    </w:p>
    <w:p w14:paraId="4F2F542A">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第十七条</w:t>
      </w:r>
      <w:r>
        <w:rPr>
          <w:rFonts w:hint="eastAsia" w:asciiTheme="minorEastAsia" w:hAnsiTheme="minorEastAsia" w:eastAsiaTheme="minorEastAsia"/>
          <w:color w:val="333333"/>
          <w:sz w:val="21"/>
          <w:szCs w:val="21"/>
        </w:rPr>
        <w:t>　各地区、各部门应当对涉及中小企业采购的预算项目实施全过程绩效管理，合理设置绩效目标和指标，落实扶持中小企业有关政策要求，定期开展绩效监控和评价，强化绩效评价结果应用。</w:t>
      </w:r>
    </w:p>
    <w:p w14:paraId="0C738EB1">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第十八条</w:t>
      </w:r>
      <w:r>
        <w:rPr>
          <w:rFonts w:hint="eastAsia" w:asciiTheme="minorEastAsia" w:hAnsiTheme="minorEastAsia" w:eastAsiaTheme="minorEastAsia"/>
          <w:color w:val="333333"/>
          <w:sz w:val="21"/>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74A989D">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第十九条</w:t>
      </w:r>
      <w:r>
        <w:rPr>
          <w:rFonts w:hint="eastAsia" w:asciiTheme="minorEastAsia" w:hAnsiTheme="minorEastAsia" w:eastAsiaTheme="minorEastAsia"/>
          <w:color w:val="333333"/>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39C165E">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第二十条</w:t>
      </w:r>
      <w:r>
        <w:rPr>
          <w:rFonts w:hint="eastAsia" w:asciiTheme="minorEastAsia" w:hAnsiTheme="minorEastAsia" w:eastAsiaTheme="minorEastAsia"/>
          <w:color w:val="333333"/>
          <w:sz w:val="21"/>
          <w:szCs w:val="21"/>
        </w:rPr>
        <w:t>　供应商按照本办法规定提供声明函内容不实的，属于提供虚假材料谋取中标、成交，依照《中华人民共和国政府采购法》等国家有关规定追究相应责任。</w:t>
      </w:r>
    </w:p>
    <w:p w14:paraId="0E441D8C">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14:paraId="1655D197">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第二十一条</w:t>
      </w:r>
      <w:r>
        <w:rPr>
          <w:rFonts w:hint="eastAsia" w:asciiTheme="minorEastAsia" w:hAnsiTheme="minorEastAsia" w:eastAsiaTheme="minorEastAsia"/>
          <w:color w:val="333333"/>
          <w:sz w:val="21"/>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0E5E2AE4">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第二十二条</w:t>
      </w:r>
      <w:r>
        <w:rPr>
          <w:rFonts w:hint="eastAsia" w:asciiTheme="minorEastAsia" w:hAnsiTheme="minorEastAsia" w:eastAsiaTheme="minorEastAsia"/>
          <w:color w:val="333333"/>
          <w:sz w:val="21"/>
          <w:szCs w:val="21"/>
        </w:rPr>
        <w:t>　对外援助项目、国家相关资格或者资质管理制度另有规定的项目，不适用本办法。</w:t>
      </w:r>
    </w:p>
    <w:p w14:paraId="025CA9F3">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第二十三条</w:t>
      </w:r>
      <w:r>
        <w:rPr>
          <w:rFonts w:hint="eastAsia" w:asciiTheme="minorEastAsia" w:hAnsiTheme="minorEastAsia" w:eastAsiaTheme="minorEastAsia"/>
          <w:color w:val="333333"/>
          <w:sz w:val="21"/>
          <w:szCs w:val="21"/>
        </w:rPr>
        <w:t>　关于视同中小企业的其他主体的政府采购扶持政策，由财政部会同有关部门另行规定。</w:t>
      </w:r>
    </w:p>
    <w:p w14:paraId="263E8EC6">
      <w:pPr>
        <w:pStyle w:val="37"/>
        <w:shd w:val="clear" w:color="auto" w:fill="FFFFFF"/>
        <w:spacing w:before="0" w:beforeAutospacing="0" w:after="0" w:afterAutospacing="0" w:line="360" w:lineRule="auto"/>
        <w:ind w:firstLine="480"/>
        <w:jc w:val="both"/>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第二十四条</w:t>
      </w:r>
      <w:r>
        <w:rPr>
          <w:rFonts w:hint="eastAsia" w:asciiTheme="minorEastAsia" w:hAnsiTheme="minorEastAsia" w:eastAsiaTheme="minorEastAsia"/>
          <w:color w:val="333333"/>
          <w:sz w:val="21"/>
          <w:szCs w:val="21"/>
        </w:rPr>
        <w:t>　省级财政部门可以会同中小企业主管部门根据本办法的规定制定具体实施办法。</w:t>
      </w:r>
    </w:p>
    <w:p w14:paraId="12ACCC87">
      <w:pPr>
        <w:pStyle w:val="37"/>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r>
        <w:rPr>
          <w:rFonts w:hint="eastAsia" w:asciiTheme="minorEastAsia" w:hAnsiTheme="minorEastAsia" w:eastAsiaTheme="minorEastAsia"/>
          <w:b/>
          <w:bCs/>
          <w:color w:val="333333"/>
          <w:sz w:val="21"/>
          <w:szCs w:val="21"/>
        </w:rPr>
        <w:t>第二十五条</w:t>
      </w:r>
      <w:r>
        <w:rPr>
          <w:rFonts w:hint="eastAsia" w:asciiTheme="minorEastAsia" w:hAnsiTheme="minorEastAsia" w:eastAsiaTheme="minorEastAsia"/>
          <w:color w:val="333333"/>
          <w:sz w:val="21"/>
          <w:szCs w:val="21"/>
        </w:rPr>
        <w:t>　本办法自2021年1月1日起施行。《财政部 工业和信息化部关于印发〈政府采购促进中小企业发展暂行办法〉的通知》（财库〔2011〕181号）同时废止。</w:t>
      </w:r>
    </w:p>
    <w:p w14:paraId="78CD9BD5">
      <w:pPr>
        <w:pStyle w:val="37"/>
        <w:shd w:val="clear" w:color="auto" w:fill="FFFFFF"/>
        <w:spacing w:before="0" w:beforeAutospacing="0" w:after="0" w:afterAutospacing="0" w:line="360" w:lineRule="auto"/>
        <w:ind w:firstLine="480"/>
        <w:rPr>
          <w:rFonts w:asciiTheme="minorEastAsia" w:hAnsiTheme="minorEastAsia" w:eastAsiaTheme="minorEastAsia"/>
          <w:color w:val="333333"/>
          <w:sz w:val="21"/>
          <w:szCs w:val="21"/>
        </w:rPr>
      </w:pPr>
    </w:p>
    <w:p w14:paraId="29E3CF5D">
      <w:pPr>
        <w:spacing w:line="360" w:lineRule="auto"/>
        <w:rPr>
          <w:rFonts w:asciiTheme="minorEastAsia" w:hAnsiTheme="minorEastAsia" w:eastAsiaTheme="minorEastAsia"/>
          <w:szCs w:val="21"/>
        </w:rPr>
      </w:pPr>
    </w:p>
    <w:p w14:paraId="3C37A92B">
      <w:pPr>
        <w:pStyle w:val="4"/>
        <w:spacing w:before="0" w:after="0"/>
        <w:jc w:val="center"/>
      </w:pPr>
      <w:bookmarkStart w:id="20" w:name="_Toc73613645"/>
      <w:bookmarkStart w:id="21" w:name="_Toc73610163"/>
      <w:r>
        <w:rPr>
          <w:rFonts w:hint="eastAsia"/>
        </w:rPr>
        <w:t>二、关于印发中小企业划型标准规定的通知</w:t>
      </w:r>
      <w:bookmarkEnd w:id="20"/>
      <w:bookmarkEnd w:id="21"/>
    </w:p>
    <w:p w14:paraId="5836FC33">
      <w:pPr>
        <w:pStyle w:val="37"/>
        <w:shd w:val="clear" w:color="auto" w:fill="FFFFFF"/>
        <w:spacing w:line="360" w:lineRule="auto"/>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工信部联企业〔2011〕300号</w:t>
      </w:r>
    </w:p>
    <w:p w14:paraId="717BF8FC">
      <w:pPr>
        <w:pStyle w:val="37"/>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各省、自治区、直辖市人民政府，国务院各部委、各直属机构及有关单位：</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EF6ECD2">
      <w:pPr>
        <w:pStyle w:val="37"/>
        <w:shd w:val="clear" w:color="auto" w:fill="FFFFFF"/>
        <w:spacing w:line="360" w:lineRule="auto"/>
        <w:jc w:val="righ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工业和信息化部　国家统计局</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国家发展和改革委员会　财政部</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二○一一年六月十八日</w:t>
      </w:r>
    </w:p>
    <w:p w14:paraId="77B34B40">
      <w:pPr>
        <w:pStyle w:val="37"/>
        <w:shd w:val="clear" w:color="auto" w:fill="FFFFFF"/>
        <w:spacing w:line="360" w:lineRule="auto"/>
        <w:jc w:val="center"/>
        <w:rPr>
          <w:rFonts w:asciiTheme="minorEastAsia" w:hAnsiTheme="minorEastAsia" w:eastAsiaTheme="minorEastAsia"/>
          <w:color w:val="000000"/>
          <w:sz w:val="21"/>
          <w:szCs w:val="21"/>
        </w:rPr>
      </w:pPr>
      <w:r>
        <w:rPr>
          <w:rStyle w:val="45"/>
          <w:rFonts w:hint="eastAsia" w:asciiTheme="minorEastAsia" w:hAnsiTheme="minorEastAsia" w:eastAsiaTheme="minorEastAsia"/>
          <w:color w:val="000000"/>
          <w:sz w:val="21"/>
          <w:szCs w:val="21"/>
        </w:rPr>
        <w:t>中小企业划型标准规定</w:t>
      </w:r>
    </w:p>
    <w:p w14:paraId="09968051">
      <w:pPr>
        <w:pStyle w:val="37"/>
        <w:shd w:val="clear" w:color="auto" w:fill="FFFFFF"/>
        <w:spacing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　　一、根据《中华人民共和国中小企业促进法》和《国务院关于进一步促进中小企业发展的若干意见》(国发〔2009〕36号)，制定本规定。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二、中小企业划分为中型、小型、微型三种类型，具体标准根据企业从业人员、营业收入、资产总额等指标，结合行业特点制定。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四、各行业划型标准为：</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（一）农、林、牧、渔业。营业收入20000万元以下的为中小微型企业。其中，营业收入500万元及以上的为中型企业，营业收入50万元及以上的为小型企业，营业收入50万元以下的为微型企业。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（十六）其他未列明行业。从业人员300人以下的为中小微型企业。其中，从业人员100人及以上的为中型企业；从业人员10人及以上的为小型企业；从业人员10人以下的为微型企业。</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五、企业类型的划分以统计部门的统计数据为依据。</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六、本规定适用于在中华人民共和国境内依法设立的各类所有制和各种组织形式的企业。个体工商户和本规定以外的行业，参照本规定进行划型。</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八、本规定由工业和信息化部、国家统计局会同有关部门根据《国民经济行业分类》修订情况和企业发展变化情况适时修订。</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九、本规定由工业和信息化部、国家统计局会同有关部门负责解释。</w:t>
      </w:r>
      <w:r>
        <w:rPr>
          <w:rFonts w:hint="eastAsia" w:asciiTheme="minorEastAsia" w:hAnsiTheme="minorEastAsia" w:eastAsiaTheme="minorEastAsia"/>
          <w:color w:val="000000"/>
          <w:sz w:val="21"/>
          <w:szCs w:val="21"/>
        </w:rPr>
        <w:br w:type="textWrapping"/>
      </w:r>
      <w:r>
        <w:rPr>
          <w:rFonts w:hint="eastAsia" w:asciiTheme="minorEastAsia" w:hAnsiTheme="minorEastAsia" w:eastAsiaTheme="minorEastAsia"/>
          <w:color w:val="000000"/>
          <w:sz w:val="21"/>
          <w:szCs w:val="21"/>
        </w:rPr>
        <w:t>　　十、本规定自发布之日起执行，原国家经贸委、原国家计委、财政部和国家统计局2003年颁布的《中小企业标准暂行规定》同时废止。</w:t>
      </w:r>
    </w:p>
    <w:p w14:paraId="69E7667C">
      <w:pPr>
        <w:pStyle w:val="37"/>
        <w:shd w:val="clear" w:color="auto" w:fill="FFFFFF"/>
        <w:spacing w:line="360" w:lineRule="auto"/>
        <w:rPr>
          <w:rFonts w:asciiTheme="minorEastAsia" w:hAnsiTheme="minorEastAsia" w:eastAsiaTheme="minorEastAsia"/>
          <w:color w:val="000000"/>
          <w:sz w:val="21"/>
          <w:szCs w:val="21"/>
        </w:rPr>
      </w:pPr>
    </w:p>
    <w:p w14:paraId="1B8FBD2C">
      <w:pPr>
        <w:pStyle w:val="4"/>
        <w:spacing w:before="0" w:after="0"/>
        <w:jc w:val="center"/>
        <w:rPr>
          <w:rFonts w:asciiTheme="minorEastAsia" w:hAnsiTheme="minorEastAsia" w:eastAsiaTheme="minorEastAsia"/>
        </w:rPr>
      </w:pPr>
      <w:bookmarkStart w:id="22" w:name="_Toc73613646"/>
      <w:bookmarkStart w:id="23" w:name="_Toc73610164"/>
      <w:r>
        <w:rPr>
          <w:rFonts w:hint="eastAsia" w:asciiTheme="minorEastAsia" w:hAnsiTheme="minorEastAsia" w:eastAsiaTheme="minorEastAsia"/>
          <w:bCs w:val="0"/>
        </w:rPr>
        <w:t>三、</w:t>
      </w:r>
      <w:r>
        <w:rPr>
          <w:rFonts w:asciiTheme="minorEastAsia" w:hAnsiTheme="minorEastAsia" w:eastAsiaTheme="minorEastAsia"/>
          <w:bCs w:val="0"/>
        </w:rPr>
        <w:t>国家统计局关于印发《统计上大中小微型企业划分办法 （2017）》的通知</w:t>
      </w:r>
      <w:bookmarkEnd w:id="22"/>
      <w:bookmarkEnd w:id="23"/>
      <w:r>
        <w:rPr>
          <w:rFonts w:asciiTheme="minorEastAsia" w:hAnsiTheme="minorEastAsia" w:eastAsiaTheme="minorEastAsia"/>
          <w:bCs w:val="0"/>
        </w:rPr>
        <w:t> </w:t>
      </w:r>
    </w:p>
    <w:p w14:paraId="0FB64294">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14AD6BF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76C60E0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60D3DA3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8019A56">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88104F2">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266F6994">
      <w:pPr>
        <w:widowControl/>
        <w:spacing w:line="360" w:lineRule="auto"/>
        <w:jc w:val="center"/>
        <w:rPr>
          <w:rFonts w:cs="宋体" w:asciiTheme="minorEastAsia" w:hAnsiTheme="minorEastAsia" w:eastAsiaTheme="minorEastAsia"/>
          <w:b/>
          <w:bCs/>
          <w:kern w:val="0"/>
          <w:szCs w:val="21"/>
        </w:rPr>
      </w:pPr>
    </w:p>
    <w:p w14:paraId="48F7701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C748B47">
      <w:pPr>
        <w:widowControl/>
        <w:spacing w:line="360" w:lineRule="auto"/>
        <w:jc w:val="left"/>
        <w:rPr>
          <w:rFonts w:cs="宋体" w:asciiTheme="minorEastAsia" w:hAnsiTheme="minorEastAsia" w:eastAsiaTheme="minorEastAsia"/>
          <w:kern w:val="0"/>
          <w:szCs w:val="21"/>
        </w:rPr>
      </w:pPr>
    </w:p>
    <w:p w14:paraId="2E7711BB">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356018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706C793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DD1AF9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5AE801F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70EE15FA">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503E7CD8">
      <w:pPr>
        <w:widowControl/>
        <w:spacing w:line="360" w:lineRule="auto"/>
        <w:jc w:val="left"/>
        <w:rPr>
          <w:rFonts w:cs="宋体" w:asciiTheme="minorEastAsia" w:hAnsiTheme="minorEastAsia" w:eastAsiaTheme="minorEastAsia"/>
          <w:kern w:val="0"/>
          <w:szCs w:val="21"/>
        </w:rPr>
      </w:pPr>
    </w:p>
    <w:p w14:paraId="2F6B3A8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332F30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6AA1DB49">
      <w:pPr>
        <w:widowControl/>
        <w:spacing w:line="360" w:lineRule="auto"/>
        <w:jc w:val="left"/>
        <w:rPr>
          <w:rFonts w:cs="宋体" w:asciiTheme="minorEastAsia" w:hAnsiTheme="minorEastAsia" w:eastAsiaTheme="minorEastAsia"/>
          <w:kern w:val="0"/>
          <w:szCs w:val="21"/>
        </w:rPr>
      </w:pPr>
    </w:p>
    <w:p w14:paraId="0BC8433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5CB38B9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B64F3C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648D198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5C4FFC5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6FC56A1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4C01BB39">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409DF568">
      <w:pPr>
        <w:widowControl/>
        <w:spacing w:line="360" w:lineRule="auto"/>
        <w:jc w:val="left"/>
        <w:rPr>
          <w:rFonts w:cs="宋体" w:asciiTheme="minorEastAsia" w:hAnsiTheme="minorEastAsia" w:eastAsiaTheme="minorEastAsia"/>
          <w:kern w:val="0"/>
          <w:szCs w:val="21"/>
        </w:rPr>
      </w:pPr>
    </w:p>
    <w:p w14:paraId="2851B57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859B15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4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C10DECE">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8783337">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5BAE7D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1ECE824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58E668E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A37EB0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559FD32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691DFEC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166BC528">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3FE06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67D8517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ED27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C46476F">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6F0BB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FA71AE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2EA12404">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7F9162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CEF328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6D8051B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6C809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BFF75C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392E82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55CBE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49AF1E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BB2C9D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8D77A0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4C454F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7D1C28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2C79D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EB482BA">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C0EACF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6A45DD6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AAB45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B6419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F5A221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9C6EC7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1BF78E3">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25213AC3">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F8172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452D266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A106E4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2606BC6">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5B2392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C0BBDD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C1331A0">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528CBC0">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52850E4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D938B31">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2150CAF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75C9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5CD096C7">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91268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F903DC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2E131AA">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5090CE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0B4D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1B0E90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127A7D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311C39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2058C9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3B42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A353E0D">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39B80136">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65F814B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02D34C2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FEBA29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603E552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4327B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0C9C46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200D58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2585DC9F">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139069D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3CE77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35905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EA56B4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94F6B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809A1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279CA7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6B491E1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63EC557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F735BCB">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ED203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376C08F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4ADB42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F372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B4F2068">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6B513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3C2650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CE7451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317E9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CDD37E9">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6D589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D1B61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D6B01AD">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01356CB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184082F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0041FB7">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159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0B9BC6A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E4EA4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D13DDB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C25CA3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6EE09DA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4E3B1159">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ACBACD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4C2283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3D3F40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BC683C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FE6E242">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60C1C39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36455B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7DAC6C4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D39884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A241A8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0E9F126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80BA15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4B5E59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7D0841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1C13C2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237F5C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DD10AA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30E62D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3F0E2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B356DC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964196B">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4341CA0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415200E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1E8E5F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A0C2D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7E4829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A17CA6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C346C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4A9D1F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040D1B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7E98F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076EACE">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443D86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87E0D4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B3B9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45CFD5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519CC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2E6353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30B1FE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93A1CA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5D3811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26E8C2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CDC1F8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0EBA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5E278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4A8C0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ACA57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BDF175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338EE5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B8E97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BD0FF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03F819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C59F6C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1FA1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2EF129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CE04C3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B89682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908FF9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31AEF6F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9DF6E6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C2AD1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30D1DE5">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5ECE46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E3FBB76">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95166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52758A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B17020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6357F7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95F3C3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52CD401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40EF0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33204D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5B6A1B8">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C09F8C3">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5FEC8B3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74DAF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B37C9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8E1EE4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1A5C5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2BEF1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4DF3CE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501B0F61">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7C6E41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F63D6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FE8557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06B00F2">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2BF31E7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29A73E0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F56798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C9F64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103B2A6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A1A6A0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4EE927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9013EB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0CDD3B9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28C6F4D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29B6E8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27F6F14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794CB0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506A7A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C9BAA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70A0AC0B">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78DBCCD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30C14F55">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483EA5CF">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122055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3F6391A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82FFB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66623B2">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0D02DC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2713BD6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27A0E41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31EFF22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1B9E2E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B258A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36736D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0B96CD0">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1389B99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0D0A9C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10D9A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02E61D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84E342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2235E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5C2BB6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6E1BD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3830252">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C2745F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30C613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74F959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CD4D72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D5C48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E9E531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DD9FBF5">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9BF81C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F6369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5A5E3AD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1CFDBA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60263CD8">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34708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483DEBC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194E3279">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672DB6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3AF285B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3604E3E1">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7F3F77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692B9B5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099D707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F47177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1075020">
      <w:pPr>
        <w:spacing w:line="360" w:lineRule="auto"/>
        <w:rPr>
          <w:rFonts w:asciiTheme="minorEastAsia" w:hAnsiTheme="minorEastAsia" w:eastAsiaTheme="minorEastAsia"/>
          <w:szCs w:val="21"/>
        </w:rPr>
      </w:pPr>
    </w:p>
    <w:p w14:paraId="3166F3E3">
      <w:pPr>
        <w:pStyle w:val="4"/>
        <w:spacing w:before="0" w:after="0"/>
        <w:jc w:val="center"/>
      </w:pPr>
      <w:bookmarkStart w:id="24" w:name="_Toc73610165"/>
      <w:bookmarkStart w:id="25" w:name="_Toc73613647"/>
      <w:r>
        <w:rPr>
          <w:rFonts w:hint="eastAsia"/>
        </w:rPr>
        <w:t>四、</w:t>
      </w:r>
      <w:r>
        <w:t>财政部 民政部 中国残疾人联合会关于促进残疾人就业 政府采购政策的通知</w:t>
      </w:r>
      <w:bookmarkEnd w:id="24"/>
      <w:bookmarkEnd w:id="25"/>
      <w:r>
        <w:t xml:space="preserve"> </w:t>
      </w:r>
    </w:p>
    <w:p w14:paraId="7BFDB946">
      <w:pPr>
        <w:pStyle w:val="37"/>
        <w:shd w:val="clear" w:color="auto" w:fill="FFFFFF"/>
        <w:spacing w:line="360" w:lineRule="auto"/>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财库〔2017〕141号</w:t>
      </w:r>
    </w:p>
    <w:p w14:paraId="16F28E6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197822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43DE72C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94F16A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07AF91E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6782944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5A4F44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71AB970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50E8D84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C94BB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21130A9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2F0F09D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178CF15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CD34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235FE7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1F5C204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CFD163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7C0FEF2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748170F">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48A7F3CE">
      <w:pPr>
        <w:widowControl/>
        <w:spacing w:line="360" w:lineRule="auto"/>
        <w:jc w:val="right"/>
        <w:rPr>
          <w:rFonts w:cs="宋体" w:asciiTheme="minorEastAsia" w:hAnsiTheme="minorEastAsia" w:eastAsiaTheme="minorEastAsia"/>
          <w:kern w:val="0"/>
          <w:szCs w:val="21"/>
        </w:rPr>
      </w:pPr>
    </w:p>
    <w:p w14:paraId="5B9DFE3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0DC05904">
      <w:pPr>
        <w:tabs>
          <w:tab w:val="left" w:pos="1875"/>
        </w:tabs>
      </w:pPr>
    </w:p>
    <w:p w14:paraId="029DE2CA"/>
    <w:p w14:paraId="62B87F86">
      <w:pPr>
        <w:pStyle w:val="4"/>
        <w:spacing w:before="0" w:after="0"/>
        <w:jc w:val="center"/>
      </w:pPr>
      <w:r>
        <w:rPr>
          <w:rFonts w:hint="eastAsia"/>
        </w:rPr>
        <w:t>五、财政部 司法部关于政府采购支持监狱企业发展有关问题的通知</w:t>
      </w:r>
      <w:r>
        <w:t xml:space="preserve"> </w:t>
      </w:r>
    </w:p>
    <w:p w14:paraId="41B3894D">
      <w:pPr>
        <w:widowControl/>
        <w:spacing w:line="360" w:lineRule="auto"/>
        <w:jc w:val="center"/>
        <w:rPr>
          <w:rFonts w:cs="宋体" w:asciiTheme="minorEastAsia" w:hAnsiTheme="minorEastAsia" w:eastAsiaTheme="minorEastAsia"/>
          <w:kern w:val="0"/>
          <w:szCs w:val="21"/>
        </w:rPr>
      </w:pPr>
    </w:p>
    <w:p w14:paraId="69789DEB">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160A76">
      <w:pPr>
        <w:widowControl/>
        <w:spacing w:line="360" w:lineRule="auto"/>
        <w:jc w:val="left"/>
        <w:rPr>
          <w:rFonts w:cs="宋体" w:asciiTheme="minorEastAsia" w:hAnsiTheme="minorEastAsia" w:eastAsiaTheme="minorEastAsia"/>
          <w:kern w:val="0"/>
          <w:szCs w:val="21"/>
        </w:rPr>
      </w:pPr>
    </w:p>
    <w:p w14:paraId="2B19091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B82F69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0E8D592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2F3F89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DFF692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803755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3D9FA27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51D2E13">
      <w:pPr>
        <w:widowControl/>
        <w:spacing w:line="360" w:lineRule="auto"/>
        <w:jc w:val="left"/>
        <w:rPr>
          <w:rFonts w:cs="宋体" w:asciiTheme="minorEastAsia" w:hAnsiTheme="minorEastAsia" w:eastAsiaTheme="minorEastAsia"/>
          <w:kern w:val="0"/>
          <w:szCs w:val="21"/>
        </w:rPr>
      </w:pPr>
    </w:p>
    <w:p w14:paraId="5B08312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6E08BC0B">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2E2657F2">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BF65DA8">
      <w:pPr>
        <w:widowControl/>
        <w:spacing w:line="360" w:lineRule="auto"/>
        <w:jc w:val="center"/>
        <w:rPr>
          <w:rFonts w:asciiTheme="majorEastAsia" w:hAnsiTheme="majorEastAsia" w:eastAsiaTheme="majorEastAsia"/>
          <w:b/>
          <w:sz w:val="32"/>
          <w:szCs w:val="32"/>
        </w:rPr>
      </w:pPr>
      <w:r>
        <w:rPr>
          <w:rFonts w:cs="宋体" w:asciiTheme="minorEastAsia" w:hAnsiTheme="minorEastAsia" w:eastAsiaTheme="minorEastAsia"/>
          <w:kern w:val="0"/>
          <w:szCs w:val="21"/>
        </w:rPr>
        <w:br w:type="page"/>
      </w:r>
      <w:r>
        <w:rPr>
          <w:rFonts w:hint="eastAsia" w:asciiTheme="majorEastAsia" w:hAnsiTheme="majorEastAsia" w:eastAsiaTheme="majorEastAsia"/>
          <w:b/>
          <w:sz w:val="32"/>
          <w:szCs w:val="32"/>
        </w:rPr>
        <w:t>第二册  通用条款（公开招标）</w:t>
      </w:r>
    </w:p>
    <w:p w14:paraId="30086E90">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26" w:name="_Hlk72399513"/>
      <w:r>
        <w:rPr>
          <w:rFonts w:hint="eastAsia" w:asciiTheme="majorEastAsia" w:hAnsiTheme="majorEastAsia" w:eastAsiaTheme="majorEastAsia"/>
          <w:b/>
          <w:bCs/>
          <w:kern w:val="0"/>
          <w:sz w:val="28"/>
          <w:szCs w:val="28"/>
        </w:rPr>
        <w:t>总则</w:t>
      </w:r>
    </w:p>
    <w:bookmarkEnd w:id="26"/>
    <w:p w14:paraId="3BED2F7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 通用条款说明</w:t>
      </w:r>
    </w:p>
    <w:p w14:paraId="489F86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1.1采购代理机构发出招标文件通用条款版本，列出深圳市政府采购项目进行招标采购所适用的通用条款内容。</w:t>
      </w:r>
      <w:bookmarkStart w:id="27" w:name="_Hlk72399729"/>
      <w:r>
        <w:rPr>
          <w:rFonts w:hint="eastAsia" w:asciiTheme="majorEastAsia" w:hAnsiTheme="majorEastAsia" w:eastAsiaTheme="majorEastAsia"/>
          <w:szCs w:val="21"/>
        </w:rPr>
        <w:t>如有需要，采购代理机构可以对通用条款的内容进行补充。</w:t>
      </w:r>
      <w:bookmarkEnd w:id="27"/>
    </w:p>
    <w:p w14:paraId="2C779DB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1.2招标文件分为第一册“专用条款”和第二册“通用条款”。</w:t>
      </w:r>
    </w:p>
    <w:p w14:paraId="5C769DC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1.3“专用条款”是对本次采购项目的具体要求，包含招标公告、对通用条款的补充内容及其他关键信息、用户需求书、投标文件格式及附件、合同条款及格式等内容。</w:t>
      </w:r>
    </w:p>
    <w:p w14:paraId="61E0D01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1.4“通用条款”是适用于政府采购公开招标项目的基础性条款，具有普遍性和通用性。</w:t>
      </w:r>
    </w:p>
    <w:p w14:paraId="08CC21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1.5 “专用条款”和“通用条款”表述不一致或有冲突时，以“专用条款”为准。</w:t>
      </w:r>
    </w:p>
    <w:p w14:paraId="3C674490">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2</w:t>
      </w:r>
      <w:r>
        <w:rPr>
          <w:rFonts w:asciiTheme="majorEastAsia" w:hAnsiTheme="majorEastAsia" w:eastAsiaTheme="majorEastAsia"/>
          <w:b/>
          <w:bCs/>
          <w:szCs w:val="21"/>
        </w:rPr>
        <w:t>．</w:t>
      </w:r>
      <w:r>
        <w:rPr>
          <w:rFonts w:hint="eastAsia" w:asciiTheme="majorEastAsia" w:hAnsiTheme="majorEastAsia" w:eastAsiaTheme="majorEastAsia"/>
          <w:b/>
          <w:bCs/>
          <w:szCs w:val="21"/>
        </w:rPr>
        <w:t>招标说明</w:t>
      </w:r>
    </w:p>
    <w:p w14:paraId="12F943A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本项目按照《深圳经济特区政府采购条例》、《深圳经济特区政府采购条例实施细则》及政府采购其他法律法规，通过公开招标方式确定中标供应商。</w:t>
      </w:r>
    </w:p>
    <w:p w14:paraId="2E0D1D22">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3．定义</w:t>
      </w:r>
    </w:p>
    <w:p w14:paraId="32314D3D">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招标文件中下列术语应解释为：</w:t>
      </w:r>
    </w:p>
    <w:p w14:paraId="59E398D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1</w:t>
      </w:r>
      <w:r>
        <w:rPr>
          <w:rFonts w:hint="eastAsia" w:asciiTheme="majorEastAsia" w:hAnsiTheme="majorEastAsia" w:eastAsiaTheme="majorEastAsia"/>
          <w:szCs w:val="21"/>
        </w:rPr>
        <w:t>“采购人”：指利用财政性资金依法进行政府采购的国家机关、事业单位、团体组织；</w:t>
      </w:r>
    </w:p>
    <w:p w14:paraId="15E64A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 “政府集中采购机构”</w:t>
      </w:r>
      <w:r>
        <w:rPr>
          <w:rFonts w:hint="eastAsia" w:cs="Arial" w:asciiTheme="majorEastAsia" w:hAnsiTheme="majorEastAsia" w:eastAsiaTheme="majorEastAsia"/>
          <w:szCs w:val="21"/>
          <w:shd w:val="clear" w:color="auto" w:fill="FFFFFF"/>
        </w:rPr>
        <w:t>是指市政府设立的，对纳入集中采购目录内的采购项目组织实施采购，并对政府采购活动提供服务的专门机构；</w:t>
      </w:r>
      <w:r>
        <w:rPr>
          <w:rFonts w:hint="eastAsia" w:asciiTheme="majorEastAsia" w:hAnsiTheme="majorEastAsia" w:eastAsiaTheme="majorEastAsia"/>
          <w:szCs w:val="21"/>
        </w:rPr>
        <w:t>本文件所述的“政府集中采购机构”</w:t>
      </w:r>
      <w:r>
        <w:rPr>
          <w:rFonts w:asciiTheme="majorEastAsia" w:hAnsiTheme="majorEastAsia" w:eastAsiaTheme="majorEastAsia"/>
          <w:szCs w:val="21"/>
        </w:rPr>
        <w:t>指</w:t>
      </w:r>
      <w:r>
        <w:rPr>
          <w:rFonts w:hint="eastAsia" w:asciiTheme="majorEastAsia" w:hAnsiTheme="majorEastAsia" w:eastAsiaTheme="majorEastAsia"/>
          <w:szCs w:val="21"/>
        </w:rPr>
        <w:t>深圳公共资源交易中心；</w:t>
      </w:r>
    </w:p>
    <w:p w14:paraId="05BC79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3.3“采购代理机构”是指根据采购人委托，代理政府采购事宜的社会采购代理机构。本招标文件的招标机构特指</w:t>
      </w:r>
      <w:r>
        <w:rPr>
          <w:rFonts w:hint="eastAsia" w:asciiTheme="majorEastAsia" w:hAnsiTheme="majorEastAsia" w:eastAsiaTheme="majorEastAsia"/>
          <w:b/>
          <w:bCs/>
          <w:szCs w:val="21"/>
        </w:rPr>
        <w:t>深圳市中正招标有限公司；</w:t>
      </w:r>
    </w:p>
    <w:p w14:paraId="5ECAD37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3.4“投标人”，即供应商，指参加投标竞争并愿意按照招标文件要求向采购人提供货物、工程或者服务的依法成立的法人、其他组织或者自然人；</w:t>
      </w:r>
    </w:p>
    <w:p w14:paraId="03A4BB4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3.5“评审委员会”是依据《深圳经济特区政府采购条例》、《深圳经济特区政府采购条例实施细则》等有关规定组建的专门负责本次招标其评审工作的临时性机构；</w:t>
      </w:r>
    </w:p>
    <w:p w14:paraId="6B37143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3.6“日期”</w:t>
      </w:r>
      <w:r>
        <w:rPr>
          <w:rFonts w:asciiTheme="majorEastAsia" w:hAnsiTheme="majorEastAsia" w:eastAsiaTheme="majorEastAsia"/>
          <w:szCs w:val="21"/>
        </w:rPr>
        <w:t>指</w:t>
      </w:r>
      <w:r>
        <w:rPr>
          <w:rFonts w:hint="eastAsia" w:asciiTheme="majorEastAsia" w:hAnsiTheme="majorEastAsia" w:eastAsiaTheme="majorEastAsia"/>
          <w:szCs w:val="21"/>
        </w:rPr>
        <w:t>公历日；</w:t>
      </w:r>
    </w:p>
    <w:p w14:paraId="19C0B06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3.7“合同”指由本次招标所产生的合同或合约文件；</w:t>
      </w:r>
    </w:p>
    <w:p w14:paraId="5373EF1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3.8“电子投标文件”指利用</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站提供的深圳智慧采购平台投标文件制作专用软件（以下简称：投标文件制作软件）制作并加密的投标文件,适用于网上投标；（投标文件制作软件可从“下载地址：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TPBidder/DownLoad/深圳市智慧采购平台投标文件制作专用软件.zip”下载）；</w:t>
      </w:r>
    </w:p>
    <w:p w14:paraId="5B0FB09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3.9“网上投标”指通过</w:t>
      </w:r>
      <w:r>
        <w:rPr>
          <w:rFonts w:hint="eastAsia" w:asciiTheme="majorEastAsia" w:hAnsiTheme="majorEastAsia" w:eastAsiaTheme="majorEastAsia"/>
          <w:bCs/>
          <w:szCs w:val="21"/>
        </w:rPr>
        <w:t>深圳公共资源交易网</w:t>
      </w:r>
      <w:r>
        <w:rPr>
          <w:rFonts w:hint="eastAsia" w:asciiTheme="majorEastAsia" w:hAnsiTheme="majorEastAsia" w:eastAsiaTheme="majorEastAsia"/>
          <w:szCs w:val="21"/>
        </w:rPr>
        <w:t>站上传电子投标文件；</w:t>
      </w:r>
    </w:p>
    <w:p w14:paraId="4724E7D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3.10招标文件中的标题或题名仅起引导作用，而不应视为对招标文件内容的理解和解释。</w:t>
      </w:r>
    </w:p>
    <w:p w14:paraId="0A5F058F">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 xml:space="preserve">4. </w:t>
      </w:r>
      <w:bookmarkStart w:id="28" w:name="_Hlk72398643"/>
      <w:r>
        <w:rPr>
          <w:rFonts w:hint="eastAsia" w:asciiTheme="majorEastAsia" w:hAnsiTheme="majorEastAsia" w:eastAsiaTheme="majorEastAsia"/>
          <w:b/>
          <w:bCs/>
          <w:szCs w:val="21"/>
        </w:rPr>
        <w:t>政府采购供应商责任</w:t>
      </w:r>
    </w:p>
    <w:p w14:paraId="48CBB5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4.1欢迎诚信、有实力和有社会责任心的供应商参与政府采购事业。</w:t>
      </w:r>
    </w:p>
    <w:p w14:paraId="052C029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4.2投标人应当遵循公平竞争的原则，不得恶意串通，不得妨碍其他投标人的竞争行为，不得损害采购人或者其他投标人的合法权益。如违反上述要求，经核实后，供应商的投标无效。</w:t>
      </w:r>
    </w:p>
    <w:p w14:paraId="67ADC5C6">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5．投标人参加政府采购的条件</w:t>
      </w:r>
    </w:p>
    <w:p w14:paraId="0EA173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5.1投标人应在投标前到</w:t>
      </w:r>
      <w:r>
        <w:rPr>
          <w:rFonts w:hint="eastAsia" w:asciiTheme="majorEastAsia" w:hAnsiTheme="majorEastAsia" w:eastAsiaTheme="majorEastAsia"/>
          <w:b/>
          <w:bCs/>
          <w:szCs w:val="21"/>
        </w:rPr>
        <w:t>深圳公共资源交易中心（具体在深圳交易集团有限公司政府采购业务分公司进行办理）</w:t>
      </w:r>
      <w:r>
        <w:rPr>
          <w:rFonts w:hint="eastAsia" w:asciiTheme="majorEastAsia" w:hAnsiTheme="majorEastAsia" w:eastAsiaTheme="majorEastAsia"/>
          <w:szCs w:val="21"/>
        </w:rPr>
        <w:t>进行注册并办理电子密钥。《</w:t>
      </w:r>
      <w:r>
        <w:fldChar w:fldCharType="begin"/>
      </w:r>
      <w:r>
        <w:instrText xml:space="preserve"> HYPERLINK "http://www.szzfcg.cn/viewer.do?id=2455258" \t "documentViewer2455258" </w:instrText>
      </w:r>
      <w:r>
        <w:fldChar w:fldCharType="separate"/>
      </w:r>
      <w:r>
        <w:rPr>
          <w:rFonts w:asciiTheme="majorEastAsia" w:hAnsiTheme="majorEastAsia" w:eastAsiaTheme="majorEastAsia"/>
          <w:szCs w:val="21"/>
        </w:rPr>
        <w:t>供应商注册及电子密钥新申请指引</w:t>
      </w:r>
      <w:r>
        <w:rPr>
          <w:rFonts w:asciiTheme="majorEastAsia" w:hAnsiTheme="majorEastAsia" w:eastAsiaTheme="majorEastAsia"/>
          <w:szCs w:val="21"/>
        </w:rPr>
        <w:fldChar w:fldCharType="end"/>
      </w:r>
      <w:r>
        <w:rPr>
          <w:rFonts w:hint="eastAsia" w:asciiTheme="majorEastAsia" w:hAnsiTheme="majorEastAsia" w:eastAsiaTheme="majorEastAsia"/>
          <w:szCs w:val="21"/>
        </w:rPr>
        <w:t>》详见</w:t>
      </w:r>
      <w:r>
        <w:rPr>
          <w:rFonts w:asciiTheme="majorEastAsia" w:hAnsiTheme="majorEastAsia" w:eastAsiaTheme="majorEastAsia"/>
          <w:szCs w:val="21"/>
        </w:rPr>
        <w:t>http://zfcg.szggzy.com/</w:t>
      </w:r>
      <w:r>
        <w:rPr>
          <w:rFonts w:hint="eastAsia" w:asciiTheme="majorEastAsia" w:hAnsiTheme="majorEastAsia" w:eastAsiaTheme="majorEastAsia"/>
          <w:szCs w:val="21"/>
        </w:rPr>
        <w:t>。</w:t>
      </w:r>
    </w:p>
    <w:p w14:paraId="110A36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5.2投标人资格要求</w:t>
      </w:r>
    </w:p>
    <w:p w14:paraId="2E88E67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参加本项目的投标人应具备的资格条件详见本项目招标公告中 “投标人资格要求”（即申请人的资格要求）的内容。</w:t>
      </w:r>
    </w:p>
    <w:p w14:paraId="7217FF3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5.3联合体投标</w:t>
      </w:r>
    </w:p>
    <w:p w14:paraId="500263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5.3.1　以下有关联合体投标的条款仅适用于允许投标人组成联合体投标的项目。</w:t>
      </w:r>
    </w:p>
    <w:p w14:paraId="13BD811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5.3.2  由两个或两个以上的自然人、法人或者其他组织可以组成一个联合体，以一个供应商的身份共同投标时，应符合以下原则：</w:t>
      </w:r>
    </w:p>
    <w:p w14:paraId="5886A09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（1）投标联合体各方参加政府采购活动应当具备下列条件：</w:t>
      </w:r>
    </w:p>
    <w:p w14:paraId="02D89777">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1、具有独立承担民事责任的能力；</w:t>
      </w:r>
    </w:p>
    <w:p w14:paraId="2E834455">
      <w:pPr>
        <w:spacing w:line="360" w:lineRule="auto"/>
        <w:ind w:left="420" w:firstLine="411" w:firstLineChars="196"/>
        <w:rPr>
          <w:rFonts w:asciiTheme="majorEastAsia" w:hAnsiTheme="majorEastAsia" w:eastAsiaTheme="majorEastAsia"/>
          <w:szCs w:val="21"/>
        </w:rPr>
      </w:pPr>
      <w:r>
        <w:rPr>
          <w:rFonts w:hint="eastAsia" w:asciiTheme="majorEastAsia" w:hAnsiTheme="majorEastAsia" w:eastAsiaTheme="majorEastAsia"/>
          <w:szCs w:val="21"/>
        </w:rPr>
        <w:t>2、有良好的商业信誉和健全的财务会计制度；</w:t>
      </w:r>
    </w:p>
    <w:p w14:paraId="3442932F">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3、具有履行合同所必需的设备和专业技术能力；</w:t>
      </w:r>
    </w:p>
    <w:p w14:paraId="25FCFC7B">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4、有依法缴纳税收和社会保障资金的良好记录；</w:t>
      </w:r>
    </w:p>
    <w:p w14:paraId="4FA91B5B">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5、参加政府采购活动前三年内，在经营活动中没有重大违法记录；</w:t>
      </w:r>
    </w:p>
    <w:p w14:paraId="6ABA5329">
      <w:pPr>
        <w:spacing w:line="360" w:lineRule="auto"/>
        <w:ind w:left="420" w:leftChars="200" w:firstLine="411" w:firstLineChars="196"/>
        <w:rPr>
          <w:rFonts w:asciiTheme="majorEastAsia" w:hAnsiTheme="majorEastAsia" w:eastAsiaTheme="majorEastAsia"/>
          <w:szCs w:val="21"/>
        </w:rPr>
      </w:pPr>
      <w:r>
        <w:rPr>
          <w:rFonts w:hint="eastAsia" w:asciiTheme="majorEastAsia" w:hAnsiTheme="majorEastAsia" w:eastAsiaTheme="majorEastAsia"/>
          <w:szCs w:val="21"/>
        </w:rPr>
        <w:t>6、法律、行政法规规定的其他条件。</w:t>
      </w:r>
    </w:p>
    <w:p w14:paraId="6C62FE6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（2）联合体中有同类资质的供应商按照联合体分工承担相同工作的，应当按照资质等级较低的供应商确定资质等级；</w:t>
      </w:r>
    </w:p>
    <w:p w14:paraId="0675584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（3）是否允许联合体参加投标，应当由采购人和采购代理机构根据项目的实际情况和潜在供应商的数量自主决定，如果决定接受联合体投标则应当在招标公告中明示；</w:t>
      </w:r>
    </w:p>
    <w:p w14:paraId="5CE7FCA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（4）投标人的投标文件及中标后签署的合同协议对联合体各方均具法律约束力；</w:t>
      </w:r>
    </w:p>
    <w:p w14:paraId="0985060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（5）联合体各方应当签订联合体投标协议，明确约定各方拟承担的工作和责任，并将该协议随投标文件一并递交给采购代理机构；</w:t>
      </w:r>
    </w:p>
    <w:p w14:paraId="5670A93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（6）联合体中标后，联合体各方应当共同与采购人签订合同，就中标项目向采购人承担连带责任；</w:t>
      </w:r>
    </w:p>
    <w:p w14:paraId="3A5D490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13348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（8）本通用条款中“投标人”一词亦指联合体各方，专用条款另有规定或说明的除外。</w:t>
      </w:r>
    </w:p>
    <w:p w14:paraId="7E7B8E16">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6．政策导向</w:t>
      </w:r>
    </w:p>
    <w:p w14:paraId="75BD631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6.1政府采购扶持贫困地区、中小企业、监狱企业和残疾人福利性单位发展，支持节能减排、环境保护。</w:t>
      </w:r>
    </w:p>
    <w:p w14:paraId="2848B251">
      <w:pPr>
        <w:spacing w:line="360" w:lineRule="auto"/>
        <w:ind w:firstLine="405"/>
        <w:rPr>
          <w:rFonts w:asciiTheme="majorEastAsia" w:hAnsiTheme="majorEastAsia" w:eastAsiaTheme="majorEastAsia"/>
          <w:szCs w:val="21"/>
          <w:shd w:val="clear" w:color="auto" w:fill="FFFFFF"/>
        </w:rPr>
      </w:pPr>
      <w:r>
        <w:rPr>
          <w:rFonts w:hint="eastAsia" w:asciiTheme="majorEastAsia" w:hAnsiTheme="majorEastAsia" w:eastAsiaTheme="majorEastAsia"/>
          <w:szCs w:val="21"/>
        </w:rPr>
        <w:t>6.2本项目落实深圳市政府采购供应商诚信管理政策要求。</w:t>
      </w:r>
    </w:p>
    <w:p w14:paraId="76749E7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7. 本项目若涉及采购货物，则合格的货物及相应服务应满足以下要求：</w:t>
      </w:r>
    </w:p>
    <w:p w14:paraId="61D9AE9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 xml:space="preserve">.1  </w:t>
      </w:r>
      <w:r>
        <w:rPr>
          <w:rFonts w:hint="eastAsia" w:asciiTheme="majorEastAsia" w:hAnsiTheme="majorEastAsia" w:eastAsiaTheme="majorEastAsia"/>
          <w:szCs w:val="21"/>
        </w:rPr>
        <w:t>必须是全新、未使用过的原装合格正品（包括零部件），如安装或配置了软件的，须为正版软件。</w:t>
      </w:r>
    </w:p>
    <w:p w14:paraId="671FFDE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7.2  国产的货物及其有关服务必须符合中华人民共和国的设计、制造生产标准及行业标准。招标公告有其他要求的，亦应符合其要求。</w:t>
      </w:r>
    </w:p>
    <w:p w14:paraId="0A7477A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3AC4A3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4投标人</w:t>
      </w:r>
      <w:bookmarkStart w:id="29" w:name="_Hlk72152753"/>
      <w:r>
        <w:rPr>
          <w:rFonts w:hint="eastAsia" w:asciiTheme="majorEastAsia" w:hAnsiTheme="majorEastAsia" w:eastAsiaTheme="major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9"/>
    </w:p>
    <w:p w14:paraId="5EA243C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671A0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7.6  工期要求：投标人在投标时对其所投项目应提交交货进度、交货计划等，在合同规定的时间内完成项目实施工作。</w:t>
      </w:r>
    </w:p>
    <w:p w14:paraId="1BCFF7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7.7  投标人必须承担的设备运输、安装调试、验收检测和提供设备操作说明书、图纸等其他相关及类似的义务。</w:t>
      </w:r>
    </w:p>
    <w:p w14:paraId="7F48BE68">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8．投标费用</w:t>
      </w:r>
    </w:p>
    <w:p w14:paraId="010FCC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不论投标结果如何，投标人应承担其编制投标文件与递交投标文件所涉及的一切费用。</w:t>
      </w:r>
    </w:p>
    <w:p w14:paraId="76B96779">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9．踏勘现场</w:t>
      </w:r>
    </w:p>
    <w:p w14:paraId="6DB56E1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DDACC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9.2投标人及其人员经过采购人的允许，可以进入采购人的项目现场踏勘。若招标文件要求投标人于统一时间地点踏勘现场的，投标人应当按时前往。</w:t>
      </w:r>
    </w:p>
    <w:p w14:paraId="58B654E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9.3采购人应当通过采购代理机构向投标人提供有关现场的书面资料和数据。</w:t>
      </w:r>
    </w:p>
    <w:p w14:paraId="78A4C8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9.4任何人或任何组织在踏勘现场时向投标人提供的任何书面资料或口头承诺，未经采购代理机构在网上发布或书面通知，均作无效处理。</w:t>
      </w:r>
    </w:p>
    <w:p w14:paraId="483F754B">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9</w:t>
      </w:r>
      <w:r>
        <w:rPr>
          <w:rFonts w:hint="eastAsia" w:asciiTheme="majorEastAsia" w:hAnsiTheme="majorEastAsia" w:eastAsiaTheme="majorEastAsia"/>
          <w:szCs w:val="21"/>
        </w:rPr>
        <w:t>.</w:t>
      </w:r>
      <w:r>
        <w:rPr>
          <w:rFonts w:asciiTheme="majorEastAsia" w:hAnsiTheme="majorEastAsia" w:eastAsiaTheme="majorEastAsia"/>
          <w:szCs w:val="21"/>
        </w:rPr>
        <w:t>5</w:t>
      </w:r>
      <w:r>
        <w:rPr>
          <w:rFonts w:hint="eastAsia" w:asciiTheme="majorEastAsia" w:hAnsiTheme="majorEastAsia" w:eastAsiaTheme="majorEastAsia"/>
          <w:szCs w:val="21"/>
        </w:rPr>
        <w:t>未参与踏勘现场不作为否定投标人资格的理由。</w:t>
      </w:r>
    </w:p>
    <w:p w14:paraId="097819E5">
      <w:pPr>
        <w:spacing w:line="360" w:lineRule="auto"/>
        <w:outlineLvl w:val="1"/>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0</w:t>
      </w:r>
      <w:r>
        <w:rPr>
          <w:rFonts w:hint="eastAsia" w:asciiTheme="majorEastAsia" w:hAnsiTheme="majorEastAsia" w:eastAsiaTheme="majorEastAsia"/>
          <w:b/>
          <w:bCs/>
          <w:szCs w:val="21"/>
        </w:rPr>
        <w:t>．标前会议</w:t>
      </w:r>
    </w:p>
    <w:p w14:paraId="672630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如采购人或采购代理机构认为有必要组织标前会议，投标人应按照招标文件规定的时间或采购代理机构另行书面通知（包括采购代理机构网站发布方式，如更正公告等）的时间和地点，参与标前会议。</w:t>
      </w:r>
    </w:p>
    <w:p w14:paraId="57A2D3D6">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w:t>
      </w:r>
      <w:r>
        <w:rPr>
          <w:rFonts w:asciiTheme="majorEastAsia" w:hAnsiTheme="majorEastAsia" w:eastAsiaTheme="majorEastAsia"/>
          <w:szCs w:val="21"/>
        </w:rPr>
        <w:t>2</w:t>
      </w:r>
      <w:r>
        <w:rPr>
          <w:rFonts w:hint="eastAsia" w:asciiTheme="majorEastAsia" w:hAnsiTheme="majorEastAsia" w:eastAsiaTheme="majorEastAsia"/>
          <w:szCs w:val="21"/>
        </w:rPr>
        <w:t>任何人或任何组织在标前会议时向投标人提供的任何书面资料或口头承诺，未经采购代理机构在网上发布或书面通知，均作无效处理。</w:t>
      </w:r>
    </w:p>
    <w:p w14:paraId="4A4BD0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w:t>
      </w:r>
      <w:r>
        <w:rPr>
          <w:rFonts w:asciiTheme="majorEastAsia" w:hAnsiTheme="majorEastAsia" w:eastAsiaTheme="majorEastAsia"/>
          <w:szCs w:val="21"/>
        </w:rPr>
        <w:t>3</w:t>
      </w:r>
      <w:r>
        <w:rPr>
          <w:rFonts w:hint="eastAsia" w:asciiTheme="majorEastAsia" w:hAnsiTheme="majorEastAsia" w:eastAsiaTheme="majorEastAsia"/>
          <w:szCs w:val="21"/>
        </w:rPr>
        <w:t>未参与标前会议不作为否定投标人资格的理由。</w:t>
      </w:r>
    </w:p>
    <w:bookmarkEnd w:id="28"/>
    <w:p w14:paraId="4F957864">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招标文件</w:t>
      </w:r>
    </w:p>
    <w:p w14:paraId="17E39CA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1</w:t>
      </w:r>
      <w:r>
        <w:rPr>
          <w:rFonts w:hint="eastAsia" w:asciiTheme="majorEastAsia" w:hAnsiTheme="majorEastAsia" w:eastAsiaTheme="majorEastAsia"/>
          <w:b/>
          <w:bCs/>
          <w:szCs w:val="21"/>
        </w:rPr>
        <w:t>．</w:t>
      </w:r>
      <w:bookmarkStart w:id="30" w:name="_Hlk72399819"/>
      <w:r>
        <w:rPr>
          <w:rFonts w:hint="eastAsia" w:asciiTheme="majorEastAsia" w:hAnsiTheme="majorEastAsia" w:eastAsiaTheme="majorEastAsia"/>
          <w:b/>
          <w:bCs/>
          <w:szCs w:val="21"/>
        </w:rPr>
        <w:t>招标文件的编制与组成</w:t>
      </w:r>
    </w:p>
    <w:p w14:paraId="181908F7">
      <w:pPr>
        <w:snapToGrid w:val="0"/>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.1招标文件除以下内容外，采购代理机构在招标期间发出的澄清或修改等相关公告或通知内容，均是招标文件的组成部分，对投标人起约束作用；</w:t>
      </w:r>
    </w:p>
    <w:p w14:paraId="78B18CB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招标文件包括下列内容：</w:t>
      </w:r>
    </w:p>
    <w:p w14:paraId="4C33CFA5">
      <w:pPr>
        <w:spacing w:line="360" w:lineRule="auto"/>
        <w:ind w:left="420" w:leftChars="200"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第一册  专用条款</w:t>
      </w:r>
    </w:p>
    <w:p w14:paraId="795D4521">
      <w:pPr>
        <w:spacing w:line="360" w:lineRule="auto"/>
        <w:ind w:left="1079" w:leftChars="514"/>
        <w:rPr>
          <w:rFonts w:asciiTheme="majorEastAsia" w:hAnsiTheme="majorEastAsia" w:eastAsiaTheme="majorEastAsia"/>
          <w:b/>
          <w:szCs w:val="21"/>
        </w:rPr>
      </w:pPr>
      <w:r>
        <w:rPr>
          <w:rFonts w:hint="eastAsia" w:asciiTheme="majorEastAsia" w:hAnsiTheme="majorEastAsia" w:eastAsiaTheme="majorEastAsia"/>
          <w:b/>
          <w:szCs w:val="21"/>
        </w:rPr>
        <w:t>关键信息</w:t>
      </w:r>
    </w:p>
    <w:p w14:paraId="4EAFBF8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招标公告</w:t>
      </w:r>
    </w:p>
    <w:p w14:paraId="2AB3AE87">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对通用条款的补充内容及其他关键信息</w:t>
      </w:r>
    </w:p>
    <w:p w14:paraId="251C5FD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用户需求书</w:t>
      </w:r>
    </w:p>
    <w:p w14:paraId="2101808D">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投标文件格式及附件</w:t>
      </w:r>
    </w:p>
    <w:p w14:paraId="65D6AE5E">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合同条款及格式</w:t>
      </w:r>
    </w:p>
    <w:p w14:paraId="051B2583">
      <w:pPr>
        <w:spacing w:line="360" w:lineRule="auto"/>
        <w:ind w:left="420" w:leftChars="200" w:firstLine="413" w:firstLineChars="196"/>
        <w:outlineLvl w:val="0"/>
        <w:rPr>
          <w:rFonts w:asciiTheme="majorEastAsia" w:hAnsiTheme="majorEastAsia" w:eastAsiaTheme="majorEastAsia"/>
          <w:b/>
          <w:szCs w:val="21"/>
        </w:rPr>
      </w:pPr>
      <w:r>
        <w:rPr>
          <w:rFonts w:hint="eastAsia" w:asciiTheme="majorEastAsia" w:hAnsiTheme="majorEastAsia" w:eastAsiaTheme="majorEastAsia"/>
          <w:b/>
          <w:szCs w:val="21"/>
        </w:rPr>
        <w:t>第二册  通用条款</w:t>
      </w:r>
    </w:p>
    <w:p w14:paraId="61F61BE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第一章  总则</w:t>
      </w:r>
    </w:p>
    <w:p w14:paraId="12CFB6A9">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第二章  招标文件</w:t>
      </w:r>
    </w:p>
    <w:p w14:paraId="1CFB19E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第三章  投标文件的编制</w:t>
      </w:r>
    </w:p>
    <w:p w14:paraId="6FA276A5">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第四章  投标文件的递交</w:t>
      </w:r>
    </w:p>
    <w:p w14:paraId="72DAEA20">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第五章  开标</w:t>
      </w:r>
    </w:p>
    <w:p w14:paraId="103125D1">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第六章  评审要求</w:t>
      </w:r>
    </w:p>
    <w:p w14:paraId="6988638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第七章  评审程序及评审方法</w:t>
      </w:r>
    </w:p>
    <w:p w14:paraId="71EFD6D8">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第八章  定标及公示</w:t>
      </w:r>
    </w:p>
    <w:p w14:paraId="04242E33">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第九章  公开招标失败的后续处理</w:t>
      </w:r>
    </w:p>
    <w:p w14:paraId="4EE3480C">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第十章  合同的授予与备案</w:t>
      </w:r>
    </w:p>
    <w:p w14:paraId="7ED647DA">
      <w:pPr>
        <w:spacing w:line="360" w:lineRule="auto"/>
        <w:ind w:left="630" w:leftChars="300" w:firstLine="411" w:firstLineChars="196"/>
        <w:outlineLvl w:val="0"/>
        <w:rPr>
          <w:rFonts w:asciiTheme="majorEastAsia" w:hAnsiTheme="majorEastAsia" w:eastAsiaTheme="majorEastAsia"/>
          <w:szCs w:val="21"/>
        </w:rPr>
      </w:pPr>
      <w:r>
        <w:rPr>
          <w:rFonts w:hint="eastAsia" w:asciiTheme="majorEastAsia" w:hAnsiTheme="majorEastAsia" w:eastAsiaTheme="majorEastAsia"/>
          <w:szCs w:val="21"/>
        </w:rPr>
        <w:t>第十一章  质疑处理</w:t>
      </w:r>
    </w:p>
    <w:p w14:paraId="6E9090F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73A66F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1</w:t>
      </w:r>
      <w:r>
        <w:rPr>
          <w:rFonts w:hint="eastAsia" w:asciiTheme="majorEastAsia" w:hAnsiTheme="majorEastAsia" w:eastAsiaTheme="majorEastAsia"/>
          <w:szCs w:val="21"/>
        </w:rPr>
        <w:t>.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6270E4B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w:t>
      </w:r>
      <w:r>
        <w:rPr>
          <w:rFonts w:asciiTheme="majorEastAsia" w:hAnsiTheme="majorEastAsia" w:eastAsiaTheme="majorEastAsia"/>
          <w:b/>
          <w:bCs/>
          <w:szCs w:val="21"/>
        </w:rPr>
        <w:t>2</w:t>
      </w:r>
      <w:r>
        <w:rPr>
          <w:rFonts w:hint="eastAsia" w:asciiTheme="majorEastAsia" w:hAnsiTheme="majorEastAsia" w:eastAsiaTheme="majorEastAsia"/>
          <w:b/>
          <w:bCs/>
          <w:szCs w:val="21"/>
        </w:rPr>
        <w:t>．招标文件的澄清</w:t>
      </w:r>
    </w:p>
    <w:p w14:paraId="43DE9E4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.1招标文件澄清的目的是澄清、解答投标人在查阅招标文件后或现场踏勘中可能提出的与投标有关的疑问或询问。</w:t>
      </w:r>
    </w:p>
    <w:p w14:paraId="24F75E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.2投标人如对招标文件内容有疑问，应当在招标公告规定的澄清（提问）截止时间前以网上提问的形式通过网上政府采购系统提交采购代理机构。</w:t>
      </w:r>
    </w:p>
    <w:p w14:paraId="06F657E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2</w:t>
      </w:r>
      <w:r>
        <w:rPr>
          <w:rFonts w:hint="eastAsia" w:asciiTheme="majorEastAsia" w:hAnsiTheme="majorEastAsia" w:eastAsiaTheme="majorEastAsia"/>
          <w:szCs w:val="21"/>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Theme="majorEastAsia" w:hAnsiTheme="majorEastAsia" w:eastAsiaTheme="majorEastAsia"/>
          <w:szCs w:val="21"/>
        </w:rPr>
        <w:t>3.3</w:t>
      </w:r>
      <w:r>
        <w:rPr>
          <w:rFonts w:hint="eastAsia" w:asciiTheme="majorEastAsia" w:hAnsiTheme="majorEastAsia" w:eastAsiaTheme="majorEastAsia"/>
          <w:szCs w:val="21"/>
        </w:rPr>
        <w:t>、1</w:t>
      </w:r>
      <w:r>
        <w:rPr>
          <w:rFonts w:asciiTheme="majorEastAsia" w:hAnsiTheme="majorEastAsia" w:eastAsiaTheme="majorEastAsia"/>
          <w:szCs w:val="21"/>
        </w:rPr>
        <w:t>3.4</w:t>
      </w:r>
      <w:r>
        <w:rPr>
          <w:rFonts w:hint="eastAsia" w:asciiTheme="majorEastAsia" w:hAnsiTheme="majorEastAsia" w:eastAsiaTheme="majorEastAsia"/>
          <w:szCs w:val="21"/>
        </w:rPr>
        <w:t>款规定执行。</w:t>
      </w:r>
    </w:p>
    <w:p w14:paraId="351687F8">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w:t>
      </w:r>
      <w:r>
        <w:rPr>
          <w:rFonts w:hint="eastAsia" w:asciiTheme="majorEastAsia" w:hAnsiTheme="majorEastAsia" w:eastAsiaTheme="majorEastAsia"/>
          <w:b/>
          <w:bCs/>
          <w:szCs w:val="21"/>
        </w:rPr>
        <w:t>3．招标文件的修改</w:t>
      </w:r>
    </w:p>
    <w:p w14:paraId="3E708B0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3.1招标文件发出后，在投标截止日期前任何时候，确需要变更招标文件内容的，采购代理机构可主动或在解答投标人提出的澄清问题时对招标文件进行修改。</w:t>
      </w:r>
    </w:p>
    <w:p w14:paraId="709ADEB0">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3.2招标文件的修改以书面形式（包括采购代理机构网站发布方式，如更正公告等）发送给所有投标人，招标文件的修改内容作为招标文件的组成部分，并具有约束力。</w:t>
      </w:r>
    </w:p>
    <w:p w14:paraId="79915C8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3EE5E54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0"/>
    </w:p>
    <w:p w14:paraId="1009A40E">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投标文件的编制</w:t>
      </w:r>
    </w:p>
    <w:p w14:paraId="27500CA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14．</w:t>
      </w:r>
      <w:bookmarkStart w:id="31" w:name="_Hlk72400236"/>
      <w:r>
        <w:rPr>
          <w:rFonts w:hint="eastAsia" w:asciiTheme="majorEastAsia" w:hAnsiTheme="majorEastAsia" w:eastAsiaTheme="majorEastAsia"/>
          <w:b/>
          <w:bCs/>
          <w:szCs w:val="21"/>
        </w:rPr>
        <w:t>投标文件的语言及度量单位</w:t>
      </w:r>
    </w:p>
    <w:p w14:paraId="7B6C057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95B48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14.2 除技术规范另有规定外，投标文件使用的度量单位，均采用中华人民共和国法定计量单位。</w:t>
      </w:r>
    </w:p>
    <w:bookmarkEnd w:id="31"/>
    <w:p w14:paraId="62738F2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15．</w:t>
      </w:r>
      <w:bookmarkStart w:id="32" w:name="_Hlk72401567"/>
      <w:r>
        <w:rPr>
          <w:rFonts w:hint="eastAsia" w:asciiTheme="majorEastAsia" w:hAnsiTheme="majorEastAsia" w:eastAsiaTheme="majorEastAsia"/>
          <w:b/>
          <w:bCs/>
          <w:szCs w:val="21"/>
        </w:rPr>
        <w:t>投标文件的组成</w:t>
      </w:r>
    </w:p>
    <w:p w14:paraId="36702CD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具体内容在招标文件专用条款中进行规定。</w:t>
      </w:r>
    </w:p>
    <w:p w14:paraId="7BE7A1BC">
      <w:pPr>
        <w:spacing w:line="360" w:lineRule="auto"/>
        <w:rPr>
          <w:rFonts w:asciiTheme="majorEastAsia" w:hAnsiTheme="majorEastAsia" w:eastAsiaTheme="majorEastAsia"/>
          <w:b/>
          <w:bCs/>
          <w:szCs w:val="21"/>
        </w:rPr>
      </w:pPr>
      <w:r>
        <w:rPr>
          <w:rFonts w:asciiTheme="majorEastAsia" w:hAnsiTheme="majorEastAsia" w:eastAsiaTheme="majorEastAsia"/>
          <w:b/>
          <w:bCs/>
          <w:szCs w:val="21"/>
        </w:rPr>
        <w:t>16．投标文件格式</w:t>
      </w:r>
    </w:p>
    <w:p w14:paraId="08FF9F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投标文件包括本通用条款第</w:t>
      </w:r>
      <w:r>
        <w:rPr>
          <w:rFonts w:asciiTheme="majorEastAsia" w:hAnsiTheme="majorEastAsia" w:eastAsiaTheme="majorEastAsia"/>
          <w:szCs w:val="21"/>
        </w:rPr>
        <w:t>15条中规定的内容。如招标文件提供了投标文件格式，则</w:t>
      </w:r>
      <w:r>
        <w:rPr>
          <w:rFonts w:hint="eastAsia" w:asciiTheme="majorEastAsia" w:hAnsiTheme="majorEastAsia" w:eastAsiaTheme="majorEastAsia"/>
          <w:b/>
          <w:bCs/>
          <w:szCs w:val="21"/>
        </w:rPr>
        <w:t>投标人提交的投标文件应使用招标文件所提供的相应格式</w:t>
      </w:r>
      <w:r>
        <w:rPr>
          <w:rFonts w:hint="eastAsia" w:asciiTheme="majorEastAsia" w:hAnsiTheme="majorEastAsia" w:eastAsiaTheme="majorEastAsia"/>
          <w:szCs w:val="21"/>
        </w:rPr>
        <w:t>（表格均可按同样格式扩展）。</w:t>
      </w:r>
    </w:p>
    <w:p w14:paraId="613A081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17．投标货币</w:t>
      </w:r>
    </w:p>
    <w:p w14:paraId="44CD07C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本项目的投标报价应以人民币计。</w:t>
      </w:r>
    </w:p>
    <w:bookmarkEnd w:id="32"/>
    <w:p w14:paraId="5A3A0E7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18．</w:t>
      </w:r>
      <w:bookmarkStart w:id="33" w:name="_Hlk72401735"/>
      <w:r>
        <w:rPr>
          <w:rFonts w:hint="eastAsia" w:asciiTheme="majorEastAsia" w:hAnsiTheme="majorEastAsia" w:eastAsiaTheme="majorEastAsia"/>
          <w:b/>
          <w:bCs/>
          <w:szCs w:val="21"/>
        </w:rPr>
        <w:t>证明投标文件投标技术方案的合格性和符合招标文件规定的文件要求</w:t>
      </w:r>
    </w:p>
    <w:p w14:paraId="266E162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w:t>
      </w:r>
      <w:r>
        <w:rPr>
          <w:rFonts w:asciiTheme="majorEastAsia" w:hAnsiTheme="majorEastAsia" w:eastAsiaTheme="majorEastAsia"/>
          <w:szCs w:val="21"/>
        </w:rPr>
        <w:t xml:space="preserve">.1 </w:t>
      </w:r>
      <w:r>
        <w:rPr>
          <w:rFonts w:hint="eastAsia" w:asciiTheme="majorEastAsia" w:hAnsiTheme="majorEastAsia" w:eastAsiaTheme="majorEastAsia"/>
          <w:szCs w:val="21"/>
        </w:rPr>
        <w:t>投标人应提交证明文件，证明其投标技术方案项下的货物和服务的合格性符合招标文件规定。该投标技术方案及其证明文件均作为投标文件组成部分。</w:t>
      </w:r>
    </w:p>
    <w:p w14:paraId="2CC8D10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 xml:space="preserve">.2 </w:t>
      </w:r>
      <w:r>
        <w:rPr>
          <w:rFonts w:hint="eastAsia" w:asciiTheme="majorEastAsia" w:hAnsiTheme="majorEastAsia" w:eastAsiaTheme="major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849B0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18.2.1主要技术指标和性能的详细说明。</w:t>
      </w:r>
    </w:p>
    <w:p w14:paraId="34FA33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2</w:t>
      </w:r>
      <w:r>
        <w:rPr>
          <w:rFonts w:hint="eastAsia" w:asciiTheme="majorEastAsia" w:hAnsiTheme="majorEastAsia" w:eastAsiaTheme="majorEastAsia"/>
          <w:szCs w:val="21"/>
        </w:rPr>
        <w:t>投标产品从采购人开始使用至招标文件中规定的周期内正常、连续地使用所必须的备件和专用工具清单，包括备件和专用工具的货源及现行价格。</w:t>
      </w:r>
    </w:p>
    <w:p w14:paraId="2A66D2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w:t>
      </w:r>
      <w:r>
        <w:rPr>
          <w:rFonts w:asciiTheme="majorEastAsia" w:hAnsiTheme="majorEastAsia" w:eastAsiaTheme="majorEastAsia"/>
          <w:szCs w:val="21"/>
        </w:rPr>
        <w:t>3</w:t>
      </w:r>
      <w:r>
        <w:rPr>
          <w:rFonts w:hint="eastAsia" w:asciiTheme="majorEastAsia" w:hAnsiTheme="majorEastAsia" w:eastAsiaTheme="major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B244BE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4F85056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35BA7CB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18.3相关资料不符合18.2款要求的，评审委员会有权认定为投标技术方案不合格响应，其相关分数予以扣减或作投标无效处理。</w:t>
      </w:r>
    </w:p>
    <w:p w14:paraId="6E8F2993">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14:paraId="6484738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18.5除非另有规定或说明，投标人对同一项目投标时，不得同时提供两套或两套以上的投标方案。</w:t>
      </w:r>
    </w:p>
    <w:bookmarkEnd w:id="33"/>
    <w:p w14:paraId="3C8928A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19．</w:t>
      </w:r>
      <w:bookmarkStart w:id="34" w:name="_Hlk72402034"/>
      <w:r>
        <w:rPr>
          <w:rFonts w:hint="eastAsia" w:asciiTheme="majorEastAsia" w:hAnsiTheme="majorEastAsia" w:eastAsiaTheme="majorEastAsia"/>
          <w:b/>
          <w:bCs/>
          <w:szCs w:val="21"/>
        </w:rPr>
        <w:t>投标文件其他证明文件的要求</w:t>
      </w:r>
    </w:p>
    <w:p w14:paraId="7596A47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5" w:name="_Hlk71407299"/>
    </w:p>
    <w:bookmarkEnd w:id="35"/>
    <w:p w14:paraId="404792A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15DAAB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20．投标有效期</w:t>
      </w:r>
    </w:p>
    <w:bookmarkEnd w:id="34"/>
    <w:p w14:paraId="5BB8D7BE">
      <w:pPr>
        <w:spacing w:line="360" w:lineRule="auto"/>
        <w:ind w:firstLine="411" w:firstLineChars="196"/>
        <w:rPr>
          <w:rFonts w:asciiTheme="majorEastAsia" w:hAnsiTheme="majorEastAsia" w:eastAsiaTheme="majorEastAsia"/>
          <w:szCs w:val="21"/>
        </w:rPr>
      </w:pPr>
      <w:bookmarkStart w:id="36" w:name="_Hlk72402214"/>
      <w:r>
        <w:rPr>
          <w:rFonts w:hint="eastAsia" w:asciiTheme="majorEastAsia" w:hAnsiTheme="majorEastAsia" w:eastAsiaTheme="majorEastAsia"/>
          <w:szCs w:val="21"/>
        </w:rPr>
        <w:t>20.1 投标有效期为</w:t>
      </w:r>
      <w:r>
        <w:rPr>
          <w:rFonts w:hint="eastAsia" w:cs="Arial" w:asciiTheme="majorEastAsia" w:hAnsiTheme="majorEastAsia" w:eastAsiaTheme="majorEastAsia"/>
          <w:szCs w:val="21"/>
        </w:rPr>
        <w:t>从投标截止之日算起的日历天数。</w:t>
      </w:r>
      <w:r>
        <w:rPr>
          <w:rFonts w:hint="eastAsia" w:asciiTheme="majorEastAsia" w:hAnsiTheme="majorEastAsia" w:eastAsiaTheme="majorEastAsia"/>
          <w:szCs w:val="21"/>
        </w:rPr>
        <w:t>在此期限内，所有投标文件均保持有效。</w:t>
      </w:r>
    </w:p>
    <w:p w14:paraId="0BCE97C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20.2 在特殊情况下，采购代理机构在原定的投标有效期满之前，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5D8E4A8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20</w:t>
      </w:r>
      <w:r>
        <w:rPr>
          <w:rFonts w:asciiTheme="majorEastAsia" w:hAnsiTheme="majorEastAsia" w:eastAsiaTheme="majorEastAsia"/>
          <w:szCs w:val="21"/>
        </w:rPr>
        <w:t>.3</w:t>
      </w:r>
      <w:r>
        <w:rPr>
          <w:rFonts w:hint="eastAsia" w:asciiTheme="majorEastAsia" w:hAnsiTheme="majorEastAsia" w:eastAsiaTheme="majorEastAsia"/>
          <w:szCs w:val="21"/>
        </w:rPr>
        <w:t xml:space="preserve"> 中标供应商的投标文件有效期，截止于完成本招标文件规定的全部项目内容，并通过竣工验收及保修期结束。</w:t>
      </w:r>
    </w:p>
    <w:bookmarkEnd w:id="36"/>
    <w:p w14:paraId="23213E42">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21．</w:t>
      </w:r>
      <w:bookmarkStart w:id="37" w:name="_Hlk72402325"/>
      <w:r>
        <w:rPr>
          <w:rFonts w:hint="eastAsia" w:asciiTheme="majorEastAsia" w:hAnsiTheme="majorEastAsia" w:eastAsiaTheme="majorEastAsia"/>
          <w:szCs w:val="21"/>
        </w:rPr>
        <w:t xml:space="preserve">关于投标保证金 </w:t>
      </w:r>
    </w:p>
    <w:p w14:paraId="5E265D1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21.1 根据《</w:t>
      </w:r>
      <w:r>
        <w:rPr>
          <w:rFonts w:asciiTheme="majorEastAsia" w:hAnsiTheme="majorEastAsia" w:eastAsiaTheme="majorEastAsia"/>
          <w:szCs w:val="21"/>
        </w:rPr>
        <w:t>深圳市财政局关于明确政府采购保证金管理工作的通知</w:t>
      </w:r>
      <w:r>
        <w:rPr>
          <w:rFonts w:hint="eastAsia" w:asciiTheme="majorEastAsia" w:hAnsiTheme="majorEastAsia" w:eastAsiaTheme="majorEastAsia"/>
          <w:szCs w:val="21"/>
        </w:rPr>
        <w:t>》（深财购[</w:t>
      </w:r>
      <w:r>
        <w:rPr>
          <w:rFonts w:asciiTheme="majorEastAsia" w:hAnsiTheme="majorEastAsia" w:eastAsiaTheme="majorEastAsia"/>
          <w:szCs w:val="21"/>
        </w:rPr>
        <w:t>2019]42</w:t>
      </w:r>
      <w:r>
        <w:rPr>
          <w:rFonts w:hint="eastAsia" w:asciiTheme="majorEastAsia" w:hAnsiTheme="majorEastAsia" w:eastAsiaTheme="majorEastAsia"/>
          <w:szCs w:val="21"/>
        </w:rPr>
        <w:t>号）文的规定，本项目不收取投标保证金。</w:t>
      </w:r>
    </w:p>
    <w:p w14:paraId="085C088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22．投标人的替代方案</w:t>
      </w:r>
    </w:p>
    <w:p w14:paraId="21AFC2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94A3C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7"/>
    <w:p w14:paraId="3BCA160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23．</w:t>
      </w:r>
      <w:bookmarkStart w:id="38" w:name="_Hlk72402860"/>
      <w:r>
        <w:rPr>
          <w:rFonts w:asciiTheme="majorEastAsia" w:hAnsiTheme="majorEastAsia" w:eastAsiaTheme="majorEastAsia"/>
          <w:b/>
          <w:bCs/>
          <w:szCs w:val="21"/>
        </w:rPr>
        <w:t>投标文件的</w:t>
      </w:r>
      <w:r>
        <w:rPr>
          <w:rFonts w:hint="eastAsia" w:asciiTheme="majorEastAsia" w:hAnsiTheme="majorEastAsia" w:eastAsiaTheme="majorEastAsia"/>
          <w:b/>
          <w:bCs/>
          <w:szCs w:val="21"/>
        </w:rPr>
        <w:t>制作</w:t>
      </w:r>
      <w:r>
        <w:rPr>
          <w:rFonts w:asciiTheme="majorEastAsia" w:hAnsiTheme="majorEastAsia" w:eastAsiaTheme="majorEastAsia"/>
          <w:b/>
          <w:bCs/>
          <w:szCs w:val="21"/>
        </w:rPr>
        <w:t>要求</w:t>
      </w:r>
    </w:p>
    <w:p w14:paraId="2AD95E4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23.1投标人应准备所投项目的电子投标文件一份。此电子投标文件须由投标人根据采购代理机构提供的后缀名为.szczf的电子招标文件，下载并使用相应的深圳智慧采购平台投标文件制作专用软件打开招标文件（.szczf格式）【下载地址：</w:t>
      </w:r>
      <w:r>
        <w:rPr>
          <w:rFonts w:asciiTheme="majorEastAsia" w:hAnsiTheme="majorEastAsia" w:eastAsiaTheme="majorEastAsia"/>
          <w:szCs w:val="21"/>
        </w:rPr>
        <w:t>http://zfcg.szggzy.com/</w:t>
      </w:r>
      <w:r>
        <w:rPr>
          <w:rFonts w:hint="eastAsia" w:asciiTheme="majorEastAsia" w:hAnsiTheme="majorEastAsia" w:eastAsiaTheme="majorEastAsia"/>
          <w:szCs w:val="21"/>
        </w:rPr>
        <w:t>TPBidder/DownLoad/深圳市智慧采购平台投标文件制作专用软件.zip】。</w:t>
      </w:r>
    </w:p>
    <w:p w14:paraId="2F2A47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23.2投标人在使用《投标文件制作软件》编制投标书时须注意：</w:t>
      </w:r>
    </w:p>
    <w:p w14:paraId="14861C9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23.2.1导入《投标文件制作软件》的招标文件项目编号、包号应与以此制作的投标文件项目编号、包号一致。例如，不能将甲项目A包的招标书导入《投标文件制作软件》，制作乙项目B包的投标书。</w:t>
      </w:r>
    </w:p>
    <w:p w14:paraId="3C6222F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23.2.2不能用非本公司的电子密钥加密本公司的投标文件，或者用其它公司的登录用户上传本公司的投标文件。</w:t>
      </w:r>
    </w:p>
    <w:p w14:paraId="27E5AC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23.2.3要求用《投标文件制作软件》编制投标书的包，不能用其它方式编制投标书。编制投标文件时，电脑须连通互联网。</w:t>
      </w:r>
    </w:p>
    <w:p w14:paraId="12F68E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23.2.4投标文件不能带病毒。采购代理机构将用专业杀毒软件对投标文件进行病毒检测，如果这两种软件均报告发现病毒，则采购代理机构认为该投标文件带病毒。</w:t>
      </w:r>
    </w:p>
    <w:p w14:paraId="1AF20B3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23.2.5完整填写“投标关键信息”，如下图所示：</w:t>
      </w:r>
    </w:p>
    <w:p w14:paraId="38FFC1DF">
      <w:pPr>
        <w:tabs>
          <w:tab w:val="left" w:pos="0"/>
        </w:tabs>
        <w:spacing w:line="360" w:lineRule="auto"/>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8"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4BCB144B">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备注：上述“开标一览表”中的“投标总价”将作为价格分计算依据；其它信息仅是对投标文件相关内容的概括性表述，不作为评审依据。</w:t>
      </w:r>
    </w:p>
    <w:p w14:paraId="0B582A7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23.2.6投标人在编辑投标文件时，</w:t>
      </w:r>
      <w:r>
        <w:rPr>
          <w:rFonts w:hint="eastAsia" w:asciiTheme="majorEastAsia" w:hAnsiTheme="majorEastAsia" w:eastAsiaTheme="majorEastAsia"/>
          <w:b/>
          <w:szCs w:val="21"/>
        </w:rPr>
        <w:t>在投标文件目录中属于本节点内容的必须在本节点中填写，填写到其他节点或附件，</w:t>
      </w:r>
      <w:r>
        <w:rPr>
          <w:rFonts w:hint="eastAsia" w:asciiTheme="majorEastAsia" w:hAnsiTheme="majorEastAsia" w:eastAsiaTheme="majorEastAsia"/>
          <w:szCs w:val="21"/>
        </w:rPr>
        <w:t>一切后果由供应商自行承担。</w:t>
      </w:r>
    </w:p>
    <w:p w14:paraId="7B29406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23.2.7投标文件编写完成后，</w:t>
      </w:r>
      <w:r>
        <w:rPr>
          <w:rFonts w:hint="eastAsia" w:asciiTheme="majorEastAsia" w:hAnsiTheme="majorEastAsia" w:eastAsiaTheme="majorEastAsia"/>
          <w:b/>
          <w:szCs w:val="21"/>
        </w:rPr>
        <w:t>必须用属于投标人的电子密钥进行加密，否则视同未盖公章，将导致投标文件无效。</w:t>
      </w:r>
    </w:p>
    <w:p w14:paraId="6FEDC21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226CEFA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23.2.9如果开标时出现网络故障、技术故障，影响了政府采购活动，采购代理机构有权采取措施如延期、接受无法从网上上传的投标书等，以保障政府采购活动的公开、公平和公正。</w:t>
      </w:r>
    </w:p>
    <w:p w14:paraId="3B3A2B7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23.3电报、电话、传真形式的投标概不接受。</w:t>
      </w:r>
    </w:p>
    <w:p w14:paraId="762866A0">
      <w:pPr>
        <w:spacing w:line="360" w:lineRule="auto"/>
        <w:ind w:firstLine="413" w:firstLineChars="196"/>
        <w:rPr>
          <w:rFonts w:asciiTheme="majorEastAsia" w:hAnsiTheme="majorEastAsia" w:eastAsiaTheme="majorEastAsia"/>
          <w:b/>
          <w:szCs w:val="21"/>
        </w:rPr>
      </w:pPr>
      <w:r>
        <w:rPr>
          <w:rFonts w:hint="eastAsia" w:asciiTheme="majorEastAsia" w:hAnsiTheme="majorEastAsia" w:eastAsiaTheme="majorEastAsia"/>
          <w:b/>
          <w:szCs w:val="21"/>
        </w:rPr>
        <w:t>23.4经投标人电子密钥加密的投标文件无须盖章或签字，</w:t>
      </w:r>
      <w:r>
        <w:rPr>
          <w:rFonts w:hint="eastAsia" w:asciiTheme="majorEastAsia" w:hAnsiTheme="majorEastAsia" w:eastAsiaTheme="majorEastAsia"/>
          <w:szCs w:val="21"/>
        </w:rPr>
        <w:t>专用条款另有要求的除外。</w:t>
      </w:r>
    </w:p>
    <w:p w14:paraId="6D0E5046">
      <w:pPr>
        <w:spacing w:line="360" w:lineRule="auto"/>
        <w:ind w:firstLine="413" w:firstLineChars="196"/>
        <w:rPr>
          <w:rFonts w:asciiTheme="majorEastAsia" w:hAnsiTheme="majorEastAsia" w:eastAsiaTheme="majorEastAsia"/>
          <w:szCs w:val="21"/>
        </w:rPr>
      </w:pPr>
      <w:r>
        <w:rPr>
          <w:rFonts w:hint="eastAsia" w:asciiTheme="majorEastAsia" w:hAnsiTheme="majorEastAsia" w:eastAsiaTheme="majorEastAsia"/>
          <w:b/>
          <w:szCs w:val="21"/>
        </w:rPr>
        <w:t>23.5</w:t>
      </w:r>
      <w:r>
        <w:rPr>
          <w:rFonts w:hint="eastAsia" w:asciiTheme="majorEastAsia" w:hAnsiTheme="majorEastAsia" w:eastAsiaTheme="majorEastAsia"/>
          <w:szCs w:val="21"/>
        </w:rPr>
        <w:t xml:space="preserve"> 各类资格（资质）文件提供扫描件，专用条款另有要求的除外。</w:t>
      </w:r>
      <w:bookmarkEnd w:id="38"/>
    </w:p>
    <w:p w14:paraId="3727EF68">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投标文件的递交</w:t>
      </w:r>
      <w:bookmarkStart w:id="39" w:name="_Hlk72405459"/>
    </w:p>
    <w:p w14:paraId="1D71F9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24．投标书的保密</w:t>
      </w:r>
    </w:p>
    <w:p w14:paraId="624CF72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14:paraId="3D8E052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drawing>
          <wp:inline distT="0" distB="0" distL="0" distR="0">
            <wp:extent cx="5278755" cy="2721610"/>
            <wp:effectExtent l="0" t="0" r="0" b="2540"/>
            <wp:docPr id="9"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图形用户界面,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14:paraId="04B0A3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在投标文件制作软件点击【生成标书】按钮进入【填写开标一览表界面】界面，在该界面填写完开标一览表信息后点击【确定】，进入投标文件生成环节。</w:t>
      </w:r>
      <w:r>
        <w:rPr>
          <w:rFonts w:asciiTheme="majorEastAsia" w:hAnsiTheme="majorEastAsia" w:eastAsiaTheme="majorEastAsia"/>
          <w:szCs w:val="21"/>
        </w:rPr>
        <w:drawing>
          <wp:inline distT="0" distB="0" distL="0" distR="0">
            <wp:extent cx="5278755" cy="2732405"/>
            <wp:effectExtent l="0" t="0" r="0" b="0"/>
            <wp:docPr id="12"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图形用户界面&#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14:paraId="38554B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投标文件制作软件会在投标文件生成过程中，提示用户输入密码，输入密码后对标文件自动进行加密。</w:t>
      </w:r>
    </w:p>
    <w:p w14:paraId="48B8E180">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24.2若采购项目出现延期情况：</w:t>
      </w:r>
    </w:p>
    <w:p w14:paraId="548BA4F9">
      <w:pPr>
        <w:spacing w:line="360" w:lineRule="auto"/>
        <w:ind w:firstLine="422" w:firstLineChars="200"/>
        <w:rPr>
          <w:rFonts w:asciiTheme="majorEastAsia" w:hAnsiTheme="majorEastAsia" w:eastAsiaTheme="majorEastAsia"/>
          <w:b/>
          <w:szCs w:val="21"/>
        </w:rPr>
      </w:pPr>
      <w:r>
        <w:rPr>
          <w:rFonts w:hint="eastAsia" w:asciiTheme="majorEastAsia" w:hAnsiTheme="majorEastAsia" w:eastAsiaTheme="majorEastAsia"/>
          <w:b/>
          <w:szCs w:val="21"/>
        </w:rPr>
        <w:t>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）有更新，投标人必须重新下载招标文件、重新制作投标文件、重新加密投标文件、重新上传投标文件；如果供下载的招标文件（后缀名为.</w:t>
      </w:r>
      <w:r>
        <w:rPr>
          <w:rFonts w:asciiTheme="majorEastAsia" w:hAnsiTheme="majorEastAsia" w:eastAsiaTheme="majorEastAsia"/>
          <w:b/>
          <w:szCs w:val="21"/>
        </w:rPr>
        <w:t>szczf</w:t>
      </w:r>
      <w:r>
        <w:rPr>
          <w:rFonts w:hint="eastAsia" w:asciiTheme="majorEastAsia" w:hAnsiTheme="majorEastAsia" w:eastAsiaTheme="majorEastAsia"/>
          <w:b/>
          <w:szCs w:val="21"/>
        </w:rPr>
        <w:t>）没有更新，投标人必须重新加密投标文件、重新上传投标文件（是否重新制作投标文件根据项目实际情况定）。否则，投标人自行承担投标文件无法解密导致投标无效的后果。</w:t>
      </w:r>
    </w:p>
    <w:p w14:paraId="07CC2C83">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25．上传投标文件及投标截止日期</w:t>
      </w:r>
    </w:p>
    <w:p w14:paraId="6023C7F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1实行网上投标，</w:t>
      </w:r>
      <w:r>
        <w:rPr>
          <w:rFonts w:asciiTheme="majorEastAsia" w:hAnsiTheme="majorEastAsia" w:eastAsiaTheme="majorEastAsia"/>
          <w:szCs w:val="21"/>
        </w:rPr>
        <w:t>投标人必须</w:t>
      </w:r>
      <w:r>
        <w:rPr>
          <w:rFonts w:hint="eastAsia" w:asciiTheme="majorEastAsia" w:hAnsiTheme="majorEastAsia" w:eastAsiaTheme="majorEastAsia"/>
          <w:szCs w:val="21"/>
        </w:rPr>
        <w:t>在招标</w:t>
      </w:r>
      <w:r>
        <w:rPr>
          <w:rFonts w:asciiTheme="majorEastAsia" w:hAnsiTheme="majorEastAsia" w:eastAsiaTheme="majorEastAsia"/>
          <w:szCs w:val="21"/>
        </w:rPr>
        <w:t>文件规定的投标截止时间前</w:t>
      </w:r>
      <w:r>
        <w:rPr>
          <w:rFonts w:hint="eastAsia" w:asciiTheme="majorEastAsia" w:hAnsiTheme="majorEastAsia" w:eastAsiaTheme="majorEastAsia"/>
          <w:szCs w:val="21"/>
        </w:rPr>
        <w:t>用电子密钥登录“深圳政府采购智慧平台用户网上办事子系统（http://zfcg.szggzy.com/TPBidder/memberLogin）”，用“【我的项目】→【项目流程】→【递交投标(应答)文件】”功能点上传投标文件。</w:t>
      </w:r>
    </w:p>
    <w:p w14:paraId="7C28008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341ED83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w:t>
      </w:r>
      <w:r>
        <w:rPr>
          <w:rFonts w:asciiTheme="majorEastAsia" w:hAnsiTheme="majorEastAsia" w:eastAsiaTheme="majorEastAsia"/>
          <w:szCs w:val="21"/>
        </w:rPr>
        <w:t>.</w:t>
      </w:r>
      <w:r>
        <w:rPr>
          <w:rFonts w:hint="eastAsia" w:asciiTheme="majorEastAsia" w:hAnsiTheme="majorEastAsia" w:eastAsiaTheme="majorEastAsia"/>
          <w:szCs w:val="21"/>
        </w:rPr>
        <w:t>3投标截止时间以后不得上传投标文件。</w:t>
      </w:r>
    </w:p>
    <w:p w14:paraId="293E024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25.4.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bookmarkEnd w:id="39"/>
    <w:p w14:paraId="39BBE85F">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26. 样品、现场演示、方案讲解</w:t>
      </w:r>
    </w:p>
    <w:p w14:paraId="1CDF153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26.1 样品、现场演示、方案讲解等事项在招标文件专用条款中进行规定。</w:t>
      </w:r>
    </w:p>
    <w:p w14:paraId="3E0B048C">
      <w:pPr>
        <w:spacing w:line="360" w:lineRule="auto"/>
        <w:rPr>
          <w:rFonts w:asciiTheme="majorEastAsia" w:hAnsiTheme="majorEastAsia" w:eastAsiaTheme="majorEastAsia"/>
          <w:b/>
          <w:bCs/>
          <w:szCs w:val="21"/>
        </w:rPr>
      </w:pPr>
      <w:bookmarkStart w:id="40" w:name="_Hlk72428346"/>
      <w:r>
        <w:rPr>
          <w:rFonts w:asciiTheme="majorEastAsia" w:hAnsiTheme="majorEastAsia" w:eastAsiaTheme="majorEastAsia"/>
          <w:b/>
          <w:bCs/>
          <w:szCs w:val="21"/>
        </w:rPr>
        <w:t>2</w:t>
      </w:r>
      <w:r>
        <w:rPr>
          <w:rFonts w:hint="eastAsia" w:asciiTheme="majorEastAsia" w:hAnsiTheme="majorEastAsia" w:eastAsiaTheme="majorEastAsia"/>
          <w:b/>
          <w:bCs/>
          <w:szCs w:val="21"/>
        </w:rPr>
        <w:t>7．</w:t>
      </w:r>
      <w:r>
        <w:rPr>
          <w:rFonts w:asciiTheme="majorEastAsia" w:hAnsiTheme="majorEastAsia" w:eastAsiaTheme="majorEastAsia"/>
          <w:b/>
          <w:bCs/>
          <w:szCs w:val="21"/>
        </w:rPr>
        <w:t>投标文件的修改和撤销</w:t>
      </w:r>
    </w:p>
    <w:p w14:paraId="388803B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1</w:t>
      </w:r>
      <w:r>
        <w:rPr>
          <w:rFonts w:asciiTheme="majorEastAsia" w:hAnsiTheme="majorEastAsia" w:eastAsiaTheme="majorEastAsia"/>
          <w:szCs w:val="21"/>
        </w:rPr>
        <w:t>投标方在提交投标文件后可对其投标文件进行修改</w:t>
      </w:r>
      <w:r>
        <w:rPr>
          <w:rFonts w:hint="eastAsia" w:asciiTheme="majorEastAsia" w:hAnsiTheme="majorEastAsia" w:eastAsiaTheme="majorEastAsia"/>
          <w:szCs w:val="21"/>
        </w:rPr>
        <w:t>并重新上传投标文件</w:t>
      </w:r>
      <w:r>
        <w:rPr>
          <w:rFonts w:asciiTheme="majorEastAsia" w:hAnsiTheme="majorEastAsia" w:eastAsiaTheme="majorEastAsia"/>
          <w:szCs w:val="21"/>
        </w:rPr>
        <w:t>或</w:t>
      </w:r>
      <w:r>
        <w:rPr>
          <w:rFonts w:hint="eastAsia" w:asciiTheme="majorEastAsia" w:hAnsiTheme="majorEastAsia" w:eastAsiaTheme="majorEastAsia"/>
          <w:szCs w:val="21"/>
        </w:rPr>
        <w:t>在网上进行</w:t>
      </w:r>
      <w:r>
        <w:rPr>
          <w:rFonts w:asciiTheme="majorEastAsia" w:hAnsiTheme="majorEastAsia" w:eastAsiaTheme="majorEastAsia"/>
          <w:szCs w:val="21"/>
        </w:rPr>
        <w:t>撤销</w:t>
      </w:r>
      <w:r>
        <w:rPr>
          <w:rFonts w:hint="eastAsia" w:asciiTheme="majorEastAsia" w:hAnsiTheme="majorEastAsia" w:eastAsiaTheme="majorEastAsia"/>
          <w:szCs w:val="21"/>
        </w:rPr>
        <w:t>投标的操作</w:t>
      </w:r>
      <w:r>
        <w:rPr>
          <w:rFonts w:asciiTheme="majorEastAsia" w:hAnsiTheme="majorEastAsia" w:eastAsiaTheme="majorEastAsia"/>
          <w:szCs w:val="21"/>
        </w:rPr>
        <w:t>。</w:t>
      </w:r>
    </w:p>
    <w:p w14:paraId="317DC6A9">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投标截止时间以后不得修改投标文件。</w:t>
      </w:r>
    </w:p>
    <w:p w14:paraId="5139E5CC">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asciiTheme="majorEastAsia" w:hAnsiTheme="majorEastAsia" w:eastAsiaTheme="majorEastAsia"/>
          <w:szCs w:val="21"/>
        </w:rPr>
        <w:t>3从投标截止期至投标人在投标文件中确定的投标有效期之间的这段时间内，投标人不得撤回其投标。</w:t>
      </w:r>
    </w:p>
    <w:p w14:paraId="3F62120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27.4采购代理机构不退还投标文件，专用条款另有规定的除外。</w:t>
      </w:r>
    </w:p>
    <w:bookmarkEnd w:id="40"/>
    <w:p w14:paraId="78D5BC31">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开标</w:t>
      </w:r>
    </w:p>
    <w:p w14:paraId="17802E3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28．开标</w:t>
      </w:r>
    </w:p>
    <w:p w14:paraId="3A3E7F09">
      <w:pPr>
        <w:spacing w:line="360" w:lineRule="auto"/>
        <w:ind w:firstLine="420" w:firstLineChars="200"/>
        <w:rPr>
          <w:rFonts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1投标人须在开标当日的开标时间至解密截止时间内进行解密，逾期未解密的作无效处理。解密方法：登录“深圳政府采购智慧平台用户网上办事子系统（</w:t>
      </w:r>
      <w:r>
        <w:rPr>
          <w:rFonts w:asciiTheme="majorEastAsia" w:hAnsiTheme="majorEastAsia" w:eastAsiaTheme="majorEastAsia"/>
          <w:szCs w:val="21"/>
        </w:rPr>
        <w:t>http://zfcg.szggzy.com/</w:t>
      </w:r>
      <w:r>
        <w:rPr>
          <w:rFonts w:hint="eastAsia" w:asciiTheme="majorEastAsia" w:hAnsiTheme="majorEastAsia" w:eastAsiaTheme="majorEastAsia"/>
          <w:szCs w:val="21"/>
        </w:rPr>
        <w:t>TPBidder/memberLogin）”，使用本单位制作电子投标文件同一个电子密钥，在“【我的项目】→【项目流程】→【开标及解密】”进行在线解密、查询开标情况。</w:t>
      </w:r>
    </w:p>
    <w:p w14:paraId="5A94C477">
      <w:pPr>
        <w:spacing w:line="360" w:lineRule="auto"/>
        <w:ind w:firstLine="359" w:firstLineChars="171"/>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szCs w:val="21"/>
        </w:rPr>
        <w:t xml:space="preserve">8.2 </w:t>
      </w:r>
      <w:r>
        <w:rPr>
          <w:rFonts w:hint="eastAsia" w:asciiTheme="majorEastAsia" w:hAnsiTheme="majorEastAsia" w:eastAsiaTheme="majorEastAsia"/>
          <w:szCs w:val="21"/>
        </w:rPr>
        <w:t>采购代理机构将在满足开标条件（</w:t>
      </w:r>
      <w:r>
        <w:rPr>
          <w:rFonts w:hint="eastAsia" w:cs="宋体" w:asciiTheme="majorEastAsia" w:hAnsiTheme="majorEastAsia" w:eastAsiaTheme="majorEastAsia"/>
          <w:color w:val="333333"/>
          <w:szCs w:val="21"/>
          <w:shd w:val="clear" w:color="auto" w:fill="FFFFFF"/>
        </w:rPr>
        <w:t>①</w:t>
      </w:r>
      <w:r>
        <w:rPr>
          <w:rFonts w:hint="eastAsia" w:asciiTheme="majorEastAsia" w:hAnsiTheme="majorEastAsia" w:eastAsiaTheme="majorEastAsia"/>
          <w:szCs w:val="21"/>
        </w:rPr>
        <w:t>解密时间结束，解密后的投标供应商数量满足开标要求或</w:t>
      </w:r>
      <w:r>
        <w:rPr>
          <w:rFonts w:hint="eastAsia" w:cs="宋体" w:asciiTheme="majorEastAsia" w:hAnsiTheme="majorEastAsia" w:eastAsiaTheme="majorEastAsia"/>
          <w:color w:val="333333"/>
          <w:szCs w:val="21"/>
          <w:shd w:val="clear" w:color="auto" w:fill="FFFFFF"/>
        </w:rPr>
        <w:t>②</w:t>
      </w:r>
      <w:r>
        <w:rPr>
          <w:rFonts w:hint="eastAsia" w:asciiTheme="majorEastAsia" w:hAnsiTheme="majorEastAsia" w:eastAsiaTheme="majorEastAsia"/>
          <w:szCs w:val="21"/>
        </w:rPr>
        <w:t>解密时间结束前所有投标供应商均完成投标文件解密）后，对投标文件进行开标，并在网上公布开标结果。</w:t>
      </w:r>
    </w:p>
    <w:p w14:paraId="6DA7F9BA">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评审要求</w:t>
      </w:r>
    </w:p>
    <w:p w14:paraId="26BBC07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29．评审委员会组成</w:t>
      </w:r>
    </w:p>
    <w:p w14:paraId="27D7CBF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29.1网上开标结束后召开评审会议，评审委员会由采购代理机构依法组建，负责评审活动。</w:t>
      </w:r>
    </w:p>
    <w:p w14:paraId="2F82B4CF">
      <w:pPr>
        <w:spacing w:line="360" w:lineRule="auto"/>
        <w:ind w:firstLine="411" w:firstLineChars="196"/>
        <w:rPr>
          <w:rFonts w:asciiTheme="majorEastAsia" w:hAnsiTheme="majorEastAsia" w:eastAsiaTheme="majorEastAsia"/>
          <w:szCs w:val="21"/>
        </w:rPr>
      </w:pPr>
      <w:bookmarkStart w:id="41" w:name="_Hlk72436580"/>
      <w:r>
        <w:rPr>
          <w:rFonts w:hint="eastAsia" w:asciiTheme="majorEastAsia" w:hAnsiTheme="majorEastAsia" w:eastAsiaTheme="majorEastAsia"/>
          <w:szCs w:val="21"/>
        </w:rPr>
        <w:t>评审委员会由采购人代表和评审专家组成，成员人数应当为5人以上单数（部分条件下为7人以上单数），其中评审专家不得少于成员总数的三分之二。</w:t>
      </w:r>
      <w:bookmarkEnd w:id="41"/>
      <w:r>
        <w:rPr>
          <w:rFonts w:hint="eastAsia" w:asciiTheme="majorEastAsia" w:hAnsiTheme="majorEastAsia" w:eastAsiaTheme="majorEastAsia"/>
          <w:szCs w:val="21"/>
        </w:rPr>
        <w:t>评定分离项目</w:t>
      </w:r>
      <w:r>
        <w:rPr>
          <w:rFonts w:asciiTheme="majorEastAsia" w:hAnsiTheme="majorEastAsia" w:eastAsiaTheme="majorEastAsia"/>
          <w:szCs w:val="21"/>
        </w:rPr>
        <w:t>评审专家</w:t>
      </w:r>
      <w:r>
        <w:rPr>
          <w:rFonts w:hint="eastAsia" w:asciiTheme="majorEastAsia" w:hAnsiTheme="majorEastAsia" w:eastAsiaTheme="majorEastAsia"/>
          <w:szCs w:val="21"/>
        </w:rPr>
        <w:t>均</w:t>
      </w:r>
      <w:r>
        <w:rPr>
          <w:rFonts w:asciiTheme="majorEastAsia" w:hAnsiTheme="majorEastAsia" w:eastAsiaTheme="majorEastAsia"/>
          <w:szCs w:val="21"/>
        </w:rPr>
        <w:t>由</w:t>
      </w:r>
      <w:r>
        <w:rPr>
          <w:rFonts w:hint="eastAsia" w:asciiTheme="majorEastAsia" w:hAnsiTheme="majorEastAsia" w:eastAsiaTheme="majorEastAsia"/>
          <w:szCs w:val="21"/>
        </w:rPr>
        <w:t>评审专家组成。评审专家一般是从深圳市政府采购评审专家库中随机抽取。采购人代表须持本单位签发的《评审授权书》参加评审。</w:t>
      </w:r>
    </w:p>
    <w:p w14:paraId="7D76BBE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29.2评审定标应当遵循公平、公正、科学、择优的原则。</w:t>
      </w:r>
    </w:p>
    <w:p w14:paraId="24A21DD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29.3评审活动依法进行，任何单位和个人不得非法干预评标过程和结果。</w:t>
      </w:r>
    </w:p>
    <w:p w14:paraId="5089C00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29.4评审过程中不允许违背评标程序或采用招标文件未载明的评标方法或评标因素进行评标。</w:t>
      </w:r>
    </w:p>
    <w:p w14:paraId="09AEA153">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29.5 开标后，直到签订合同为止，凡属于对投标文件的审查、澄清、评价和比较的有关资料以及中标候选人的推荐情况、与评审有关的其他任何情况均严格保密（</w:t>
      </w:r>
      <w:r>
        <w:rPr>
          <w:rFonts w:hint="eastAsia" w:asciiTheme="majorEastAsia" w:hAnsiTheme="majorEastAsia" w:eastAsiaTheme="majorEastAsia"/>
          <w:szCs w:val="21"/>
        </w:rPr>
        <w:t>信息公开的内容除外</w:t>
      </w:r>
      <w:r>
        <w:rPr>
          <w:rFonts w:hint="eastAsia" w:asciiTheme="majorEastAsia" w:hAnsiTheme="majorEastAsia" w:eastAsiaTheme="majorEastAsia"/>
          <w:bCs/>
          <w:szCs w:val="21"/>
        </w:rPr>
        <w:t>）。</w:t>
      </w:r>
    </w:p>
    <w:p w14:paraId="034C7B6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30．向评审委员会提供的资料</w:t>
      </w:r>
    </w:p>
    <w:p w14:paraId="3D64644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30.1公开发布的招标文件，包括图纸、服务清单、答疑文件等；</w:t>
      </w:r>
    </w:p>
    <w:p w14:paraId="21A282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30.2其他评标必须的资料。</w:t>
      </w:r>
    </w:p>
    <w:p w14:paraId="1D56A00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30.3评审委员会应当认真研究招标文件，至少应了解熟悉以下内容：</w:t>
      </w:r>
    </w:p>
    <w:p w14:paraId="54BA3F2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（1）招标的目的；</w:t>
      </w:r>
    </w:p>
    <w:p w14:paraId="383FD0B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（2）招标项目需求的范围和性质；</w:t>
      </w:r>
    </w:p>
    <w:p w14:paraId="4389B33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（3）招标文件规定的投标人的资格、财政预算限额、商务条款；</w:t>
      </w:r>
    </w:p>
    <w:p w14:paraId="0312BA5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（4）招标文件规定的评标程序、评标方法和评标因素；</w:t>
      </w:r>
    </w:p>
    <w:p w14:paraId="3AB4B56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（5）招标文件所列示的资格性审查表及符合性审查表。</w:t>
      </w:r>
    </w:p>
    <w:p w14:paraId="3A4E8A7B">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31．独立评审</w:t>
      </w:r>
    </w:p>
    <w:p w14:paraId="6B8EC0C7">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w:t>
      </w:r>
      <w:r>
        <w:rPr>
          <w:rFonts w:asciiTheme="majorEastAsia" w:hAnsiTheme="majorEastAsia" w:eastAsiaTheme="majorEastAsia"/>
          <w:bCs/>
          <w:szCs w:val="21"/>
        </w:rPr>
        <w:t>1</w:t>
      </w:r>
      <w:r>
        <w:rPr>
          <w:rFonts w:hint="eastAsia" w:asciiTheme="majorEastAsia" w:hAnsiTheme="majorEastAsia" w:eastAsiaTheme="majorEastAsia"/>
          <w:bCs/>
          <w:szCs w:val="21"/>
        </w:rPr>
        <w:t>.1</w:t>
      </w:r>
      <w:r>
        <w:rPr>
          <w:rFonts w:hint="eastAsia" w:asciiTheme="majorEastAsia" w:hAnsiTheme="majorEastAsia" w:eastAsiaTheme="majorEastAsia"/>
          <w:szCs w:val="21"/>
        </w:rPr>
        <w:t>评审委员会</w:t>
      </w:r>
      <w:r>
        <w:rPr>
          <w:rFonts w:hint="eastAsia" w:asciiTheme="majorEastAsia" w:hAnsiTheme="majorEastAsia" w:eastAsiaTheme="majorEastAsia"/>
          <w:bCs/>
          <w:szCs w:val="21"/>
        </w:rPr>
        <w:t>成员的评标活动应当独立进行，并应遵循投标文件初审、澄清有关问题、比较与评价、确定中标供应商、编写评审报告的工作程序。</w:t>
      </w:r>
    </w:p>
    <w:p w14:paraId="7FEEC99F">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评审程序及评审方法</w:t>
      </w:r>
    </w:p>
    <w:p w14:paraId="62E00C76">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32．投标文件初审</w:t>
      </w:r>
    </w:p>
    <w:p w14:paraId="795E395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32.1投标文件初审包括资格性审查和符合性审查。</w:t>
      </w:r>
    </w:p>
    <w:p w14:paraId="6515896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资格性审查：依据法律法规和招标文件的规定，对投标文件中的资格证明等进行审查，以确定投标供应商是否具备投标资格。</w:t>
      </w:r>
    </w:p>
    <w:p w14:paraId="6F9A3C3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符合性审查：依据招标文件的规定，对投标文件的有效性、完整性和对招标文件的响应程度进行审查，以确定是否满足符合性审查的要求。</w:t>
      </w:r>
    </w:p>
    <w:p w14:paraId="6DC44D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32.2 投标文件初审内容请详见《资格性审查表》和《符合性审查表》部分。投标人若有一条审查不通过则按投标无效处理。</w:t>
      </w:r>
    </w:p>
    <w:p w14:paraId="24144365">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 投标文件初审中关于供应商家数的计算:</w:t>
      </w:r>
    </w:p>
    <w:p w14:paraId="4BA29545">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8829604">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312506F">
      <w:pPr>
        <w:spacing w:line="360" w:lineRule="auto"/>
        <w:ind w:firstLine="411" w:firstLineChars="196"/>
        <w:rPr>
          <w:rFonts w:asciiTheme="majorEastAsia" w:hAnsiTheme="majorEastAsia" w:eastAsiaTheme="majorEastAsia"/>
          <w:bCs/>
          <w:szCs w:val="21"/>
        </w:rPr>
      </w:pPr>
      <w:r>
        <w:rPr>
          <w:rFonts w:hint="eastAsia" w:asciiTheme="majorEastAsia" w:hAnsiTheme="majorEastAsia" w:eastAsiaTheme="majorEastAsia"/>
          <w:bCs/>
          <w:szCs w:val="21"/>
        </w:rPr>
        <w:t>32.3.3非单一产品采购项目，采购人应当根据采购项目技术构成、产品价格比重等合理确定核心产品，并在招标文件中载明。多家投标人提供的核心产品品牌相同的，按前两款规定处理。</w:t>
      </w:r>
    </w:p>
    <w:p w14:paraId="3AAC7EA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32.4投标人投标文件作无效处理的情形，具体包括但不限于以下：</w:t>
      </w:r>
    </w:p>
    <w:p w14:paraId="26C17CE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32.4.1不同投标人的投标文件由同一单位或者同一个人编制，或者由同一个人分阶段参与编制；</w:t>
      </w:r>
    </w:p>
    <w:p w14:paraId="486B0121">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32.4.</w:t>
      </w:r>
      <w:r>
        <w:rPr>
          <w:rFonts w:hint="eastAsia" w:asciiTheme="majorEastAsia" w:hAnsiTheme="majorEastAsia" w:eastAsiaTheme="majorEastAsia"/>
          <w:szCs w:val="21"/>
        </w:rPr>
        <w:t>2不同投标人委托同一单位或者个人办理投标事宜；</w:t>
      </w:r>
    </w:p>
    <w:p w14:paraId="10BB19D7">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32.4.3不同投标人的投标文件载明的项目管理成员或者联系人员为同一人；</w:t>
      </w:r>
    </w:p>
    <w:p w14:paraId="6DDD15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32.4.4不同投标人的投标文件异常一致或者投标报价呈规律性差异；</w:t>
      </w:r>
    </w:p>
    <w:p w14:paraId="3C0158F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32.4.5</w:t>
      </w:r>
      <w:r>
        <w:rPr>
          <w:rFonts w:asciiTheme="majorEastAsia" w:hAnsiTheme="majorEastAsia" w:eastAsiaTheme="majorEastAsia"/>
          <w:szCs w:val="21"/>
        </w:rPr>
        <w:t>不同投标供应商的投标文件或部分投标文件相互混装</w:t>
      </w:r>
      <w:r>
        <w:rPr>
          <w:rFonts w:hint="eastAsia" w:asciiTheme="majorEastAsia" w:hAnsiTheme="majorEastAsia" w:eastAsiaTheme="majorEastAsia"/>
          <w:szCs w:val="21"/>
        </w:rPr>
        <w:t>；</w:t>
      </w:r>
    </w:p>
    <w:p w14:paraId="378EBE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32.4.6投标供应商之间相互约定给予未中标的供应商利益补偿；</w:t>
      </w:r>
    </w:p>
    <w:p w14:paraId="48767BA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32.4.7不同投标供应商的法定代表人、主要经营负责人、项目投标授权代表人、项目负责人、主要技术人员为同一人、属同一单位或者同一单位缴纳社会保险；</w:t>
      </w:r>
    </w:p>
    <w:p w14:paraId="2B7A05E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32.4.8不同投标供应商的投标文件内容存在非正常一致；</w:t>
      </w:r>
    </w:p>
    <w:p w14:paraId="52E2B3B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32.4.9在同一单位工作人员为两家以上（含两家）供应商进行同一项投标活动；</w:t>
      </w:r>
    </w:p>
    <w:p w14:paraId="37E75A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32.4.10主管部门依照法律、法规认定的其他情形。</w:t>
      </w:r>
    </w:p>
    <w:p w14:paraId="488DD9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32.5对不属于《资格性审查表》和《符合性审查表》所列的其他情形，除专用条款另有规定和32.4条款所列情形外，不得作为投标无效的理由。</w:t>
      </w:r>
    </w:p>
    <w:p w14:paraId="0F4FFD1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33．澄清有关问题</w:t>
      </w:r>
    </w:p>
    <w:p w14:paraId="7057FF3F">
      <w:pPr>
        <w:spacing w:line="360" w:lineRule="auto"/>
        <w:ind w:firstLine="411" w:firstLineChars="196"/>
        <w:rPr>
          <w:rFonts w:asciiTheme="majorEastAsia" w:hAnsiTheme="majorEastAsia" w:eastAsiaTheme="majorEastAsia"/>
          <w:szCs w:val="21"/>
        </w:rPr>
      </w:pPr>
      <w:bookmarkStart w:id="42" w:name="_Hlk71407321"/>
      <w:r>
        <w:rPr>
          <w:rFonts w:hint="eastAsia" w:asciiTheme="majorEastAsia" w:hAnsiTheme="majorEastAsia" w:eastAsiaTheme="majorEastAsia"/>
          <w:szCs w:val="21"/>
        </w:rPr>
        <w:t>3</w:t>
      </w:r>
      <w:r>
        <w:rPr>
          <w:rFonts w:asciiTheme="majorEastAsia" w:hAnsiTheme="majorEastAsia" w:eastAsiaTheme="majorEastAsia"/>
          <w:szCs w:val="21"/>
        </w:rPr>
        <w:t>3.1</w:t>
      </w:r>
      <w:r>
        <w:rPr>
          <w:rFonts w:hint="eastAsia" w:asciiTheme="majorEastAsia" w:hAnsiTheme="majorEastAsia" w:eastAsiaTheme="majorEastAsia"/>
          <w:szCs w:val="21"/>
        </w:rPr>
        <w:t>对招标文件中描述有歧义或前后不一致的地方（不含</w:t>
      </w:r>
      <w:r>
        <w:rPr>
          <w:rFonts w:asciiTheme="majorEastAsia" w:hAnsiTheme="majorEastAsia" w:eastAsiaTheme="majorEastAsia"/>
          <w:szCs w:val="21"/>
        </w:rPr>
        <w:t>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w:t>
      </w:r>
      <w:r>
        <w:rPr>
          <w:rFonts w:hint="eastAsia" w:asciiTheme="majorEastAsia" w:hAnsiTheme="majorEastAsia" w:eastAsiaTheme="majorEastAsia"/>
          <w:szCs w:val="21"/>
        </w:rPr>
        <w:t>的情况），评审委员会有权进行评判，但对同一条款的评判应适用于每个投标人。</w:t>
      </w:r>
      <w:bookmarkEnd w:id="42"/>
    </w:p>
    <w:p w14:paraId="6F1AFE3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w:t>
      </w:r>
      <w:r>
        <w:rPr>
          <w:rFonts w:asciiTheme="majorEastAsia" w:hAnsiTheme="majorEastAsia" w:eastAsiaTheme="majorEastAsia"/>
          <w:szCs w:val="21"/>
        </w:rPr>
        <w:t>3.2评</w:t>
      </w:r>
      <w:r>
        <w:rPr>
          <w:rFonts w:hint="eastAsia" w:asciiTheme="majorEastAsia" w:hAnsiTheme="majorEastAsia" w:eastAsiaTheme="majorEastAsia"/>
          <w:szCs w:val="21"/>
        </w:rPr>
        <w:t>审</w:t>
      </w:r>
      <w:r>
        <w:rPr>
          <w:rFonts w:asciiTheme="majorEastAsia" w:hAnsiTheme="majorEastAsia" w:eastAsiaTheme="majorEastAsia"/>
          <w:szCs w:val="21"/>
        </w:rPr>
        <w:t>委员会发现招标文件存在歧义、重大缺陷导致评</w:t>
      </w:r>
      <w:r>
        <w:rPr>
          <w:rFonts w:hint="eastAsia" w:asciiTheme="majorEastAsia" w:hAnsiTheme="majorEastAsia" w:eastAsiaTheme="majorEastAsia"/>
          <w:szCs w:val="21"/>
        </w:rPr>
        <w:t>审</w:t>
      </w:r>
      <w:r>
        <w:rPr>
          <w:rFonts w:asciiTheme="majorEastAsia" w:hAnsiTheme="majorEastAsia" w:eastAsiaTheme="majorEastAsia"/>
          <w:szCs w:val="21"/>
        </w:rPr>
        <w:t>工作无法进行，或者招标文件内容违反国家有关强制性规定的，应当停止评</w:t>
      </w:r>
      <w:r>
        <w:rPr>
          <w:rFonts w:hint="eastAsia" w:asciiTheme="majorEastAsia" w:hAnsiTheme="majorEastAsia" w:eastAsiaTheme="majorEastAsia"/>
          <w:szCs w:val="21"/>
        </w:rPr>
        <w:t>审</w:t>
      </w:r>
      <w:r>
        <w:rPr>
          <w:rFonts w:asciiTheme="majorEastAsia" w:hAnsiTheme="majorEastAsia" w:eastAsiaTheme="majorEastAsia"/>
          <w:szCs w:val="21"/>
        </w:rPr>
        <w:t>工作，与</w:t>
      </w:r>
      <w:r>
        <w:rPr>
          <w:rFonts w:hint="eastAsia" w:asciiTheme="majorEastAsia" w:hAnsiTheme="majorEastAsia" w:eastAsiaTheme="majorEastAsia"/>
          <w:szCs w:val="21"/>
        </w:rPr>
        <w:t>采购代理机构</w:t>
      </w:r>
      <w:r>
        <w:rPr>
          <w:rFonts w:asciiTheme="majorEastAsia" w:hAnsiTheme="majorEastAsia" w:eastAsiaTheme="majorEastAsia"/>
          <w:szCs w:val="21"/>
        </w:rPr>
        <w:t>沟通并作书面记录。</w:t>
      </w:r>
      <w:r>
        <w:rPr>
          <w:rFonts w:hint="eastAsia" w:asciiTheme="majorEastAsia" w:hAnsiTheme="majorEastAsia" w:eastAsiaTheme="majorEastAsia"/>
          <w:szCs w:val="21"/>
        </w:rPr>
        <w:t>经</w:t>
      </w:r>
      <w:r>
        <w:rPr>
          <w:rFonts w:asciiTheme="majorEastAsia" w:hAnsiTheme="majorEastAsia" w:eastAsiaTheme="majorEastAsia"/>
          <w:szCs w:val="21"/>
        </w:rPr>
        <w:t>确认后，</w:t>
      </w:r>
      <w:r>
        <w:rPr>
          <w:rFonts w:hint="eastAsia" w:asciiTheme="majorEastAsia" w:hAnsiTheme="majorEastAsia" w:eastAsiaTheme="majorEastAsia"/>
          <w:szCs w:val="21"/>
        </w:rPr>
        <w:t>项目</w:t>
      </w:r>
      <w:r>
        <w:rPr>
          <w:rFonts w:asciiTheme="majorEastAsia" w:hAnsiTheme="majorEastAsia" w:eastAsiaTheme="majorEastAsia"/>
          <w:szCs w:val="21"/>
        </w:rPr>
        <w:t>应当修改招标文件，重新组织采购活动。</w:t>
      </w:r>
    </w:p>
    <w:p w14:paraId="211F5218">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33.3</w:t>
      </w:r>
      <w:r>
        <w:rPr>
          <w:rFonts w:hint="eastAsia" w:asciiTheme="majorEastAsia" w:hAnsiTheme="majorEastAsia" w:eastAsiaTheme="majorEastAsia"/>
          <w:szCs w:val="21"/>
        </w:rPr>
        <w:t>对于投标文件中含义不明确、同类问题表述不一致或者有明显文字和计算错误的内容，评审委员会应当以书面形式要求投标人作出必要的澄清、说明或者补正。</w:t>
      </w:r>
    </w:p>
    <w:p w14:paraId="61A52A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851B2C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根据本通用条款第34条，凡属于评审委员会在评审中发现的算术错误进行核实的修改不在此列。</w:t>
      </w:r>
    </w:p>
    <w:p w14:paraId="037F7C21">
      <w:pPr>
        <w:spacing w:line="360" w:lineRule="auto"/>
        <w:rPr>
          <w:rFonts w:asciiTheme="majorEastAsia" w:hAnsiTheme="majorEastAsia" w:eastAsiaTheme="majorEastAsia"/>
          <w:b/>
          <w:bCs/>
          <w:szCs w:val="21"/>
        </w:rPr>
      </w:pPr>
      <w:bookmarkStart w:id="43" w:name="_Toc73517673"/>
      <w:bookmarkStart w:id="44" w:name="_Toc73521581"/>
      <w:bookmarkStart w:id="45" w:name="_Toc73518151"/>
      <w:bookmarkStart w:id="46" w:name="_Toc73521669"/>
      <w:bookmarkStart w:id="47" w:name="_Toc100052400"/>
      <w:r>
        <w:rPr>
          <w:rFonts w:hint="eastAsia" w:asciiTheme="majorEastAsia" w:hAnsiTheme="majorEastAsia" w:eastAsiaTheme="majorEastAsia"/>
          <w:b/>
          <w:bCs/>
          <w:szCs w:val="21"/>
        </w:rPr>
        <w:t>34．错误的修正</w:t>
      </w:r>
      <w:bookmarkEnd w:id="43"/>
      <w:bookmarkEnd w:id="44"/>
      <w:bookmarkEnd w:id="45"/>
      <w:bookmarkEnd w:id="46"/>
      <w:bookmarkEnd w:id="47"/>
    </w:p>
    <w:p w14:paraId="147D67A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投标文件报价出现前后不一致的，除专用条款另有规定外，按照下列规定修正：</w:t>
      </w:r>
    </w:p>
    <w:p w14:paraId="4686BDB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34.1投标文件中开标一览表投标报价内容与投标文件中投标报价相应内容不一致的，以开标一览表为准；</w:t>
      </w:r>
    </w:p>
    <w:p w14:paraId="7EE7DA9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34.2大写金额和小写金额不一致的，以大写金额为准；</w:t>
      </w:r>
    </w:p>
    <w:p w14:paraId="01E3357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34.3单价金额小数点或者百分比有明显错位，以开标一览表的总价为准，并修改单价；</w:t>
      </w:r>
    </w:p>
    <w:p w14:paraId="51E650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34.4总价金额与按单价汇总金额不一致的，以单价金额计算结果为准。</w:t>
      </w:r>
    </w:p>
    <w:p w14:paraId="702405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34.5同时出现两种以上不一致的，按照前款规定的顺序修正。修正后的报价按照本通用条款33条的规定，经投标人确认后产生约束力，投标人不确认的，其投标无效。</w:t>
      </w:r>
    </w:p>
    <w:p w14:paraId="75244569">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35．投标文件的比较与评价</w:t>
      </w:r>
    </w:p>
    <w:p w14:paraId="1F5564D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77BA15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评审委员会成员对需要共同认定的事项存在争议的，应当按照少数服从多数的原则作出结论。持不同意见的评审委员会成员应当书面作出说明，否则视为无异议。</w:t>
      </w:r>
    </w:p>
    <w:p w14:paraId="3661F0D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36. 实地考察或资料查验</w:t>
      </w:r>
    </w:p>
    <w:p w14:paraId="2344C4E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36.1在评审过程中，评审委员会有权决定是否对本项目投标人进行实地考察或资料查验（原件）。投标人应随时做好接受实地考察或资料查验的准备。</w:t>
      </w:r>
    </w:p>
    <w:p w14:paraId="123701D2">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37．评审方法</w:t>
      </w:r>
    </w:p>
    <w:p w14:paraId="4C21C357">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37.1.1最低价法</w:t>
      </w:r>
    </w:p>
    <w:p w14:paraId="19B240B7">
      <w:pPr>
        <w:spacing w:line="360" w:lineRule="auto"/>
        <w:ind w:firstLine="411" w:firstLineChars="196"/>
        <w:rPr>
          <w:rFonts w:asciiTheme="majorEastAsia" w:hAnsiTheme="majorEastAsia" w:eastAsiaTheme="majorEastAsia"/>
          <w:szCs w:val="21"/>
        </w:rPr>
      </w:pPr>
      <w:bookmarkStart w:id="48" w:name="_Hlk72438142"/>
      <w:r>
        <w:rPr>
          <w:rFonts w:asciiTheme="majorEastAsia" w:hAnsiTheme="majorEastAsia" w:eastAsiaTheme="majorEastAsia"/>
          <w:szCs w:val="21"/>
        </w:rPr>
        <w:t>最低价法，是指</w:t>
      </w:r>
      <w:r>
        <w:rPr>
          <w:rFonts w:hint="eastAsia" w:asciiTheme="majorEastAsia" w:hAnsiTheme="majorEastAsia" w:eastAsiaTheme="majorEastAsia"/>
          <w:szCs w:val="21"/>
        </w:rPr>
        <w:t>完全</w:t>
      </w:r>
      <w:r>
        <w:rPr>
          <w:rFonts w:asciiTheme="majorEastAsia" w:hAnsiTheme="majorEastAsia" w:eastAsiaTheme="majorEastAsia"/>
          <w:szCs w:val="21"/>
        </w:rPr>
        <w:t>满足招标文件实质性要求，</w:t>
      </w:r>
      <w:r>
        <w:rPr>
          <w:rFonts w:hint="eastAsia" w:asciiTheme="majorEastAsia" w:hAnsiTheme="majorEastAsia" w:eastAsiaTheme="majorEastAsia"/>
          <w:szCs w:val="21"/>
        </w:rPr>
        <w:t>按照报价由低到高的顺序，依据招标文件中规定的数量或者比例推荐候选中标供应商。</w:t>
      </w:r>
    </w:p>
    <w:p w14:paraId="31D899FA">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37.1.2综合评分法</w:t>
      </w:r>
    </w:p>
    <w:p w14:paraId="3A368B02">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综合评分法，是指</w:t>
      </w:r>
      <w:r>
        <w:rPr>
          <w:rFonts w:hint="eastAsia" w:asciiTheme="majorEastAsia" w:hAnsiTheme="majorEastAsia" w:eastAsiaTheme="majorEastAsia"/>
          <w:szCs w:val="21"/>
        </w:rPr>
        <w:t>在</w:t>
      </w:r>
      <w:r>
        <w:rPr>
          <w:rFonts w:asciiTheme="majorEastAsia" w:hAnsiTheme="majorEastAsia" w:eastAsiaTheme="majorEastAsia"/>
          <w:szCs w:val="21"/>
        </w:rPr>
        <w:t>满足招标文件全部实质性要求</w:t>
      </w:r>
      <w:r>
        <w:rPr>
          <w:rFonts w:hint="eastAsia" w:asciiTheme="majorEastAsia" w:hAnsiTheme="majorEastAsia" w:eastAsiaTheme="majorEastAsia"/>
          <w:szCs w:val="21"/>
        </w:rPr>
        <w:t>的前提下</w:t>
      </w:r>
      <w:r>
        <w:rPr>
          <w:rFonts w:asciiTheme="majorEastAsia" w:hAnsiTheme="majorEastAsia" w:eastAsiaTheme="majorEastAsia"/>
          <w:szCs w:val="21"/>
        </w:rPr>
        <w:t>，</w:t>
      </w:r>
      <w:r>
        <w:rPr>
          <w:rFonts w:hint="eastAsia" w:asciiTheme="majorEastAsia" w:hAnsiTheme="majorEastAsia" w:eastAsiaTheme="majorEastAsia"/>
          <w:szCs w:val="21"/>
        </w:rPr>
        <w:t>按照招标文件中规定的各项因素进行综合评审，评审总得分排名前列的投标人，作为推荐的候选中标供应商。</w:t>
      </w:r>
      <w:bookmarkEnd w:id="48"/>
    </w:p>
    <w:p w14:paraId="6B25CD42">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37.2 本项目采用的评审方法见本项目招标文件第一册“专用条款”的相关内容。</w:t>
      </w:r>
    </w:p>
    <w:p w14:paraId="793C03EC">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37.3重新评审的情形</w:t>
      </w:r>
    </w:p>
    <w:p w14:paraId="26E8D8AE">
      <w:pPr>
        <w:spacing w:line="360" w:lineRule="auto"/>
        <w:ind w:firstLine="411" w:firstLineChars="196"/>
        <w:rPr>
          <w:rFonts w:asciiTheme="majorEastAsia" w:hAnsiTheme="majorEastAsia" w:eastAsiaTheme="majorEastAsia"/>
          <w:b/>
          <w:bCs/>
          <w:szCs w:val="21"/>
        </w:rPr>
      </w:pPr>
      <w:r>
        <w:rPr>
          <w:rFonts w:hint="eastAsia" w:cs="宋体" w:asciiTheme="majorEastAsia" w:hAnsiTheme="majorEastAsia" w:eastAsiaTheme="majorEastAsia"/>
          <w:szCs w:val="21"/>
        </w:rPr>
        <w:t>评审结果汇总完成后，除下列情形外，任何人不得修改评审结果：</w:t>
      </w:r>
    </w:p>
    <w:p w14:paraId="38B1EE83">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37.3.1分值汇总计算错误的；</w:t>
      </w:r>
    </w:p>
    <w:p w14:paraId="7B5A662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37.3.2分项评分超出评分标准范围的；</w:t>
      </w:r>
    </w:p>
    <w:p w14:paraId="6DB042A8">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37.3.3评审委员会成员对客观评审因素评分不一致的；</w:t>
      </w:r>
    </w:p>
    <w:p w14:paraId="78AD04B9">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37.3.4经评审委员会认定评分畸高、畸低的。</w:t>
      </w:r>
    </w:p>
    <w:p w14:paraId="6B8128F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4080A6A">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投标人对本条第一款情形提出质疑的，采购人或者采购代理机构可以组织原评审委员会进行重新评审，重新评审改变评审结果的，应当书面报告本级财政部门。</w:t>
      </w:r>
    </w:p>
    <w:p w14:paraId="0810CD9D">
      <w:pPr>
        <w:spacing w:line="360" w:lineRule="auto"/>
        <w:ind w:firstLine="413" w:firstLineChars="196"/>
        <w:rPr>
          <w:rFonts w:asciiTheme="majorEastAsia" w:hAnsiTheme="majorEastAsia" w:eastAsiaTheme="majorEastAsia"/>
          <w:b/>
          <w:bCs/>
          <w:szCs w:val="21"/>
        </w:rPr>
      </w:pPr>
      <w:r>
        <w:rPr>
          <w:rFonts w:hint="eastAsia" w:asciiTheme="majorEastAsia" w:hAnsiTheme="majorEastAsia" w:eastAsiaTheme="majorEastAsia"/>
          <w:b/>
          <w:bCs/>
          <w:szCs w:val="21"/>
        </w:rPr>
        <w:t xml:space="preserve"> 37.4重新组建评审委员会的情形</w:t>
      </w:r>
    </w:p>
    <w:p w14:paraId="0B0AB2E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评审委员会或者其成员存在下列情形导致评审结果无效的，重新组建评审委员会进行评标，并书面报告本级财政部门：</w:t>
      </w:r>
    </w:p>
    <w:p w14:paraId="71E5198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37.4.1评审委员会组成不符合《政府采购货物和服务招标投标管理办法》规定的；</w:t>
      </w:r>
    </w:p>
    <w:p w14:paraId="2FC06A26">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37.4.2有《政府采购货物和服务招标投标管理办法》第六十二条第一至五项情形的；</w:t>
      </w:r>
    </w:p>
    <w:p w14:paraId="2E547931">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37.4.3评审委员会及其成员独立评标受到非法干预的；</w:t>
      </w:r>
    </w:p>
    <w:p w14:paraId="22C3D22F">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37.4.4有政府采购法实施条例第七十五条规定的违法行为的。</w:t>
      </w:r>
    </w:p>
    <w:p w14:paraId="03949EC6">
      <w:pPr>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有违法违规行为的原评审委员会成员不得参加重新组建的评审委员会。</w:t>
      </w:r>
    </w:p>
    <w:p w14:paraId="454E87D3">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定标及公示</w:t>
      </w:r>
    </w:p>
    <w:p w14:paraId="0D62BD3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38．定标方法</w:t>
      </w:r>
    </w:p>
    <w:p w14:paraId="5B8BE8D2">
      <w:pPr>
        <w:spacing w:line="360" w:lineRule="auto"/>
        <w:ind w:firstLine="411" w:firstLineChars="196"/>
        <w:rPr>
          <w:rFonts w:asciiTheme="majorEastAsia" w:hAnsiTheme="majorEastAsia" w:eastAsiaTheme="majorEastAsia"/>
          <w:szCs w:val="21"/>
        </w:rPr>
      </w:pPr>
      <w:bookmarkStart w:id="49" w:name="_Hlk73782795"/>
      <w:r>
        <w:rPr>
          <w:rFonts w:hint="eastAsia" w:asciiTheme="majorEastAsia" w:hAnsiTheme="majorEastAsia" w:eastAsiaTheme="majorEastAsia"/>
          <w:szCs w:val="21"/>
        </w:rPr>
        <w:t>38.1非评定分离项目定标方法</w:t>
      </w:r>
    </w:p>
    <w:p w14:paraId="061ED38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1.1评审委员会依据本项目招标文件所约定的评审方法进行评审和比较，向采购代理机构提交书面评审报告，并根据评审方法比较评价结果从优到劣进行排序，确定候选中标供应商。</w:t>
      </w:r>
    </w:p>
    <w:p w14:paraId="57D96ABB">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1.2</w:t>
      </w:r>
      <w:r>
        <w:rPr>
          <w:rFonts w:asciiTheme="majorEastAsia" w:hAnsiTheme="majorEastAsia" w:eastAsiaTheme="majorEastAsia"/>
          <w:szCs w:val="21"/>
        </w:rPr>
        <w:t>采用最低价法的，评</w:t>
      </w:r>
      <w:r>
        <w:rPr>
          <w:rFonts w:hint="eastAsia" w:asciiTheme="majorEastAsia" w:hAnsiTheme="majorEastAsia" w:eastAsiaTheme="majorEastAsia"/>
          <w:szCs w:val="21"/>
        </w:rPr>
        <w:t>审</w:t>
      </w:r>
      <w:r>
        <w:rPr>
          <w:rFonts w:asciiTheme="majorEastAsia" w:hAnsiTheme="majorEastAsia" w:eastAsiaTheme="majorEastAsia"/>
          <w:szCs w:val="21"/>
        </w:rPr>
        <w:t>结果按投标报价由低到高顺序排列。投标报价相同的并列。投标文件满足招标文件全部实质性要求且投标报价最低的</w:t>
      </w:r>
      <w:r>
        <w:rPr>
          <w:rFonts w:hint="eastAsia" w:asciiTheme="majorEastAsia" w:hAnsiTheme="majorEastAsia" w:eastAsiaTheme="majorEastAsia"/>
          <w:szCs w:val="21"/>
        </w:rPr>
        <w:t>投标人为</w:t>
      </w:r>
      <w:bookmarkStart w:id="50" w:name="_Hlk73821177"/>
      <w:r>
        <w:rPr>
          <w:rFonts w:hint="eastAsia" w:asciiTheme="majorEastAsia" w:hAnsiTheme="majorEastAsia" w:eastAsiaTheme="majorEastAsia"/>
          <w:szCs w:val="21"/>
        </w:rPr>
        <w:t>中标供应商</w:t>
      </w:r>
      <w:r>
        <w:rPr>
          <w:rFonts w:asciiTheme="majorEastAsia" w:hAnsiTheme="majorEastAsia" w:eastAsiaTheme="majorEastAsia"/>
          <w:szCs w:val="21"/>
        </w:rPr>
        <w:t>（</w:t>
      </w:r>
      <w:r>
        <w:rPr>
          <w:rFonts w:hint="eastAsia" w:asciiTheme="majorEastAsia" w:hAnsiTheme="majorEastAsia" w:eastAsiaTheme="majorEastAsia"/>
          <w:szCs w:val="21"/>
        </w:rPr>
        <w:t>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bookmarkEnd w:id="50"/>
      <w:r>
        <w:rPr>
          <w:rFonts w:asciiTheme="majorEastAsia" w:hAnsiTheme="majorEastAsia" w:eastAsiaTheme="majorEastAsia"/>
          <w:szCs w:val="21"/>
        </w:rPr>
        <w:t>）。</w:t>
      </w:r>
    </w:p>
    <w:p w14:paraId="4FB3C95B">
      <w:pPr>
        <w:spacing w:line="360" w:lineRule="auto"/>
        <w:ind w:firstLine="411" w:firstLineChars="196"/>
        <w:rPr>
          <w:rFonts w:hint="eastAsia" w:asciiTheme="majorEastAsia" w:hAnsiTheme="majorEastAsia" w:eastAsiaTheme="majorEastAsia"/>
          <w:szCs w:val="21"/>
        </w:rPr>
      </w:pPr>
      <w:r>
        <w:rPr>
          <w:rFonts w:hint="eastAsia" w:asciiTheme="majorEastAsia" w:hAnsiTheme="majorEastAsia" w:eastAsiaTheme="majorEastAsia"/>
          <w:szCs w:val="21"/>
        </w:rPr>
        <w:t>38</w:t>
      </w:r>
      <w:r>
        <w:rPr>
          <w:rFonts w:asciiTheme="majorEastAsia" w:hAnsiTheme="majorEastAsia" w:eastAsiaTheme="majorEastAsia"/>
          <w:szCs w:val="21"/>
        </w:rPr>
        <w:t>.</w:t>
      </w:r>
      <w:r>
        <w:rPr>
          <w:rFonts w:hint="eastAsia" w:asciiTheme="majorEastAsia" w:hAnsiTheme="majorEastAsia" w:eastAsiaTheme="majorEastAsia"/>
          <w:szCs w:val="21"/>
        </w:rPr>
        <w:t>1.3</w:t>
      </w:r>
      <w:r>
        <w:rPr>
          <w:rFonts w:asciiTheme="majorEastAsia" w:hAnsiTheme="majorEastAsia" w:eastAsiaTheme="major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Theme="majorEastAsia" w:hAnsiTheme="majorEastAsia" w:eastAsiaTheme="majorEastAsia"/>
          <w:szCs w:val="21"/>
        </w:rPr>
        <w:t>为中标供应商</w:t>
      </w:r>
      <w:r>
        <w:rPr>
          <w:rFonts w:asciiTheme="majorEastAsia" w:hAnsiTheme="majorEastAsia" w:eastAsiaTheme="majorEastAsia"/>
          <w:szCs w:val="21"/>
        </w:rPr>
        <w:t>（</w:t>
      </w:r>
      <w:r>
        <w:rPr>
          <w:rFonts w:hint="eastAsia" w:asciiTheme="majorEastAsia" w:hAnsiTheme="majorEastAsia" w:eastAsiaTheme="majorEastAsia"/>
          <w:szCs w:val="21"/>
        </w:rPr>
        <w:t>中标候选人如不止一名，则推选排名</w:t>
      </w:r>
      <w:r>
        <w:rPr>
          <w:rFonts w:asciiTheme="majorEastAsia" w:hAnsiTheme="majorEastAsia" w:eastAsiaTheme="majorEastAsia"/>
          <w:szCs w:val="21"/>
        </w:rPr>
        <w:t>第二</w:t>
      </w:r>
      <w:r>
        <w:rPr>
          <w:rFonts w:hint="eastAsia" w:asciiTheme="majorEastAsia" w:hAnsiTheme="majorEastAsia" w:eastAsiaTheme="majorEastAsia"/>
          <w:szCs w:val="21"/>
        </w:rPr>
        <w:t>的投标人为第一替补中标候选人、排名</w:t>
      </w:r>
      <w:r>
        <w:rPr>
          <w:rFonts w:asciiTheme="majorEastAsia" w:hAnsiTheme="majorEastAsia" w:eastAsiaTheme="majorEastAsia"/>
          <w:szCs w:val="21"/>
        </w:rPr>
        <w:t>第</w:t>
      </w:r>
      <w:r>
        <w:rPr>
          <w:rFonts w:hint="eastAsia" w:asciiTheme="majorEastAsia" w:hAnsiTheme="majorEastAsia" w:eastAsiaTheme="majorEastAsia"/>
          <w:szCs w:val="21"/>
        </w:rPr>
        <w:t>三的投标人为第二替补中标候选人</w:t>
      </w:r>
      <w:r>
        <w:rPr>
          <w:rFonts w:asciiTheme="majorEastAsia" w:hAnsiTheme="majorEastAsia" w:eastAsiaTheme="majorEastAsia"/>
          <w:szCs w:val="21"/>
        </w:rPr>
        <w:t>）。</w:t>
      </w:r>
      <w:r>
        <w:rPr>
          <w:rFonts w:hint="eastAsia" w:asciiTheme="majorEastAsia" w:hAnsiTheme="majorEastAsia" w:eastAsiaTheme="majorEastAsia"/>
          <w:szCs w:val="21"/>
        </w:rPr>
        <w:t>出现</w:t>
      </w:r>
      <w:r>
        <w:rPr>
          <w:rFonts w:asciiTheme="majorEastAsia" w:hAnsiTheme="majorEastAsia" w:eastAsiaTheme="majorEastAsia"/>
          <w:szCs w:val="21"/>
        </w:rPr>
        <w:t>得分且投标报价相同的并列</w:t>
      </w:r>
      <w:r>
        <w:rPr>
          <w:rFonts w:hint="eastAsia" w:asciiTheme="majorEastAsia" w:hAnsiTheme="majorEastAsia" w:eastAsiaTheme="majorEastAsia"/>
          <w:szCs w:val="21"/>
        </w:rPr>
        <w:t>情况时，采取随机抽取的方式确定，具体操作办法及流程由评审委员会确定（因落实政府采购政策进行价格调整的，以调整后的价格计算投标报价）。</w:t>
      </w:r>
    </w:p>
    <w:p w14:paraId="200E28D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38.2评定分离项目定标方法</w:t>
      </w:r>
    </w:p>
    <w:p w14:paraId="012BB62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5BB654A">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 xml:space="preserve">38.2.2 </w:t>
      </w:r>
      <w:bookmarkStart w:id="51" w:name="_Hlk71469733"/>
      <w:r>
        <w:rPr>
          <w:rFonts w:asciiTheme="majorEastAsia" w:hAnsiTheme="majorEastAsia" w:eastAsiaTheme="majorEastAsia"/>
          <w:szCs w:val="21"/>
        </w:rPr>
        <w:t>适用评定分离的政府采购项目，采用综合评分法评</w:t>
      </w:r>
      <w:r>
        <w:rPr>
          <w:rFonts w:hint="eastAsia" w:asciiTheme="majorEastAsia" w:hAnsiTheme="majorEastAsia" w:eastAsiaTheme="majorEastAsia"/>
          <w:szCs w:val="21"/>
        </w:rPr>
        <w:t>审。评审委员会按照评审结果，推荐</w:t>
      </w:r>
      <w:r>
        <w:rPr>
          <w:rFonts w:asciiTheme="majorEastAsia" w:hAnsiTheme="majorEastAsia" w:eastAsiaTheme="majorEastAsia"/>
          <w:szCs w:val="21"/>
        </w:rPr>
        <w:t>三个合格的候选中标供应商。</w:t>
      </w:r>
    </w:p>
    <w:p w14:paraId="46385AB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38.2.3</w:t>
      </w:r>
      <w:bookmarkStart w:id="52" w:name="_Hlk71469688"/>
      <w:r>
        <w:rPr>
          <w:rFonts w:asciiTheme="majorEastAsia" w:hAnsiTheme="majorEastAsia" w:eastAsiaTheme="majorEastAsia"/>
          <w:szCs w:val="21"/>
        </w:rPr>
        <w:t>适用评定分离的政府采购项目，</w:t>
      </w:r>
      <w:r>
        <w:rPr>
          <w:rFonts w:hint="eastAsia" w:asciiTheme="majorEastAsia" w:hAnsiTheme="majorEastAsia" w:eastAsiaTheme="majorEastAsia"/>
          <w:szCs w:val="21"/>
        </w:rPr>
        <w:t>按照自定法确定中标供应商：自定法是指采购人组织定标委员会，由定标委员会在三家候选中标供应商中确定中标供应商。</w:t>
      </w:r>
      <w:bookmarkEnd w:id="51"/>
      <w:bookmarkEnd w:id="52"/>
    </w:p>
    <w:p w14:paraId="58CD53A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38.2.4</w:t>
      </w:r>
      <w:r>
        <w:rPr>
          <w:rFonts w:hint="eastAsia" w:asciiTheme="majorEastAsia" w:hAnsiTheme="majorEastAsia" w:eastAsiaTheme="majorEastAsia"/>
          <w:szCs w:val="21"/>
        </w:rPr>
        <w:t>采购代理机构</w:t>
      </w:r>
      <w:r>
        <w:rPr>
          <w:rFonts w:asciiTheme="majorEastAsia" w:hAnsiTheme="majorEastAsia" w:eastAsiaTheme="majorEastAsia"/>
          <w:szCs w:val="21"/>
        </w:rPr>
        <w:t>应当自评审结束之日起两个工作日内将候选中标供应商名单及其投标文件、评审报告送交采购人</w:t>
      </w:r>
      <w:r>
        <w:rPr>
          <w:rFonts w:hint="eastAsia" w:asciiTheme="majorEastAsia" w:hAnsiTheme="majorEastAsia" w:eastAsiaTheme="majorEastAsia"/>
          <w:szCs w:val="21"/>
        </w:rPr>
        <w:t>。</w:t>
      </w:r>
      <w:r>
        <w:rPr>
          <w:rFonts w:asciiTheme="majorEastAsia" w:hAnsiTheme="majorEastAsia" w:eastAsiaTheme="majorEastAsia"/>
          <w:szCs w:val="21"/>
        </w:rPr>
        <w:t>采购人应当安排专人对定标过程进行书面记录，形成定标报告，作为采购文件的组成部分存档，并及时将定标结果反馈</w:t>
      </w:r>
      <w:r>
        <w:rPr>
          <w:rFonts w:hint="eastAsia" w:asciiTheme="majorEastAsia" w:hAnsiTheme="majorEastAsia" w:eastAsiaTheme="majorEastAsia"/>
          <w:szCs w:val="21"/>
        </w:rPr>
        <w:t>采购代理机构。具体定标程序及相关要求以按照《</w:t>
      </w:r>
      <w:r>
        <w:rPr>
          <w:rFonts w:asciiTheme="majorEastAsia" w:hAnsiTheme="majorEastAsia" w:eastAsiaTheme="majorEastAsia"/>
          <w:szCs w:val="21"/>
        </w:rPr>
        <w:t>深圳市财政局关于印发</w:t>
      </w:r>
      <w:r>
        <w:rPr>
          <w:rFonts w:hint="eastAsia" w:asciiTheme="majorEastAsia" w:hAnsiTheme="majorEastAsia" w:eastAsiaTheme="majorEastAsia"/>
          <w:szCs w:val="21"/>
        </w:rPr>
        <w:t>〈</w:t>
      </w:r>
      <w:r>
        <w:rPr>
          <w:rFonts w:asciiTheme="majorEastAsia" w:hAnsiTheme="majorEastAsia" w:eastAsiaTheme="majorEastAsia"/>
          <w:szCs w:val="21"/>
        </w:rPr>
        <w:t>深圳市政府采购评标定标分离管理办法</w:t>
      </w:r>
      <w:r>
        <w:rPr>
          <w:rFonts w:hint="eastAsia" w:asciiTheme="majorEastAsia" w:hAnsiTheme="majorEastAsia" w:eastAsiaTheme="majorEastAsia"/>
          <w:szCs w:val="21"/>
        </w:rPr>
        <w:t>〉</w:t>
      </w:r>
      <w:r>
        <w:rPr>
          <w:rFonts w:asciiTheme="majorEastAsia" w:hAnsiTheme="majorEastAsia" w:eastAsiaTheme="majorEastAsia"/>
          <w:szCs w:val="21"/>
        </w:rPr>
        <w:t>的通知</w:t>
      </w:r>
      <w:r>
        <w:rPr>
          <w:rFonts w:hint="eastAsia" w:asciiTheme="majorEastAsia" w:hAnsiTheme="majorEastAsia" w:eastAsiaTheme="majorEastAsia"/>
          <w:szCs w:val="21"/>
        </w:rPr>
        <w:t>》（深财规【2</w:t>
      </w:r>
      <w:r>
        <w:rPr>
          <w:rFonts w:asciiTheme="majorEastAsia" w:hAnsiTheme="majorEastAsia" w:eastAsiaTheme="majorEastAsia"/>
          <w:szCs w:val="21"/>
        </w:rPr>
        <w:t>020</w:t>
      </w:r>
      <w:r>
        <w:rPr>
          <w:rFonts w:hint="eastAsia" w:asciiTheme="majorEastAsia" w:hAnsiTheme="majorEastAsia" w:eastAsiaTheme="majorEastAsia"/>
          <w:szCs w:val="21"/>
        </w:rPr>
        <w:t>】1号）执行。</w:t>
      </w:r>
    </w:p>
    <w:p w14:paraId="7A1CF98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说明：采购人及投标供应商应按照上述方法提前做好相关准备。</w:t>
      </w:r>
    </w:p>
    <w:p w14:paraId="07959F0A">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38.3专用条款另有规定的，按专用条款相关要求定标。</w:t>
      </w:r>
      <w:bookmarkEnd w:id="49"/>
    </w:p>
    <w:p w14:paraId="578C728D">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39．编写评审报告</w:t>
      </w:r>
    </w:p>
    <w:p w14:paraId="5C227F3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99AF51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40．中标公告</w:t>
      </w:r>
    </w:p>
    <w:p w14:paraId="2FF97D7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40.1</w:t>
      </w:r>
      <w:bookmarkStart w:id="53" w:name="_Hlk72438709"/>
      <w:r>
        <w:rPr>
          <w:rFonts w:hint="eastAsia" w:asciiTheme="majorEastAsia" w:hAnsiTheme="majorEastAsia" w:eastAsiaTheme="majorEastAsia"/>
          <w:szCs w:val="21"/>
        </w:rPr>
        <w:t>为体现“公开、公平、公正”的原则，评审结束后经采购人确认（确定）评审结果，采购代理机构将在“深圳政府采购智慧平台（http://zfcg.szggzy.com/）”上发布中标结果公告。</w:t>
      </w:r>
      <w:bookmarkEnd w:id="53"/>
      <w:bookmarkStart w:id="54" w:name="_Hlk72438751"/>
      <w:r>
        <w:rPr>
          <w:rFonts w:hint="eastAsia" w:asciiTheme="majorEastAsia" w:hAnsiTheme="majorEastAsia" w:eastAsiaTheme="majorEastAsia"/>
          <w:szCs w:val="21"/>
        </w:rPr>
        <w:t>供应商如对评审结果有异议，</w:t>
      </w:r>
      <w:r>
        <w:rPr>
          <w:rFonts w:asciiTheme="majorEastAsia" w:hAnsiTheme="majorEastAsia" w:eastAsiaTheme="majorEastAsia"/>
          <w:szCs w:val="21"/>
        </w:rPr>
        <w:t>可在发布公示日期起</w:t>
      </w:r>
      <w:r>
        <w:rPr>
          <w:rFonts w:hint="eastAsia" w:asciiTheme="majorEastAsia" w:hAnsiTheme="majorEastAsia" w:eastAsiaTheme="majorEastAsia"/>
          <w:szCs w:val="21"/>
        </w:rPr>
        <w:t>七</w:t>
      </w:r>
      <w:r>
        <w:rPr>
          <w:rFonts w:asciiTheme="majorEastAsia" w:hAnsiTheme="majorEastAsia" w:eastAsiaTheme="majorEastAsia"/>
          <w:szCs w:val="21"/>
        </w:rPr>
        <w:t>个工作日内向</w:t>
      </w:r>
      <w:r>
        <w:rPr>
          <w:rFonts w:hint="eastAsia" w:asciiTheme="majorEastAsia" w:hAnsiTheme="majorEastAsia" w:eastAsiaTheme="majorEastAsia"/>
          <w:szCs w:val="21"/>
        </w:rPr>
        <w:t>采购代理机构</w:t>
      </w:r>
      <w:r>
        <w:rPr>
          <w:rFonts w:asciiTheme="majorEastAsia" w:hAnsiTheme="majorEastAsia" w:eastAsiaTheme="majorEastAsia"/>
          <w:szCs w:val="21"/>
        </w:rPr>
        <w:t>提出。 监督电话：0755-83948143。</w:t>
      </w:r>
      <w:r>
        <w:rPr>
          <w:rFonts w:hint="eastAsia" w:asciiTheme="majorEastAsia" w:hAnsiTheme="majorEastAsia" w:eastAsiaTheme="majorEastAsia"/>
          <w:szCs w:val="21"/>
        </w:rPr>
        <w:t>若在公示期内未提出质疑，则视为认同该评审结果。</w:t>
      </w:r>
    </w:p>
    <w:bookmarkEnd w:id="54"/>
    <w:p w14:paraId="6037794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40.2质疑、投诉供应商应保证质疑、投诉内容的真实性和可靠性，并承担相应的法律责任。</w:t>
      </w:r>
    </w:p>
    <w:p w14:paraId="2E85B228">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41．中标通知书</w:t>
      </w:r>
    </w:p>
    <w:p w14:paraId="71CF2DA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w:t>
      </w:r>
      <w:r>
        <w:rPr>
          <w:rFonts w:hint="eastAsia" w:asciiTheme="majorEastAsia" w:hAnsiTheme="majorEastAsia" w:eastAsiaTheme="majorEastAsia"/>
          <w:szCs w:val="21"/>
        </w:rPr>
        <w:t>1</w:t>
      </w:r>
      <w:bookmarkStart w:id="55" w:name="_Hlk72438863"/>
      <w:r>
        <w:rPr>
          <w:rFonts w:hint="eastAsia" w:asciiTheme="majorEastAsia" w:hAnsiTheme="majorEastAsia" w:eastAsiaTheme="majorEastAsia"/>
          <w:szCs w:val="21"/>
        </w:rPr>
        <w:t>中标公告公布以后无异常的情况下,采购代理机构将向中标供应商和采购人发出中标通知书。</w:t>
      </w:r>
      <w:bookmarkEnd w:id="55"/>
    </w:p>
    <w:p w14:paraId="40CBE6A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w:t>
      </w:r>
      <w:r>
        <w:rPr>
          <w:rFonts w:asciiTheme="majorEastAsia" w:hAnsiTheme="majorEastAsia" w:eastAsiaTheme="majorEastAsia"/>
          <w:szCs w:val="21"/>
        </w:rPr>
        <w:t>.2</w:t>
      </w:r>
      <w:r>
        <w:rPr>
          <w:rFonts w:hint="eastAsia" w:asciiTheme="majorEastAsia" w:hAnsiTheme="majorEastAsia" w:eastAsiaTheme="majorEastAsia"/>
          <w:szCs w:val="21"/>
        </w:rPr>
        <w:t>中标通知书是合同的重要组成部分。</w:t>
      </w:r>
    </w:p>
    <w:p w14:paraId="4273479C">
      <w:pPr>
        <w:spacing w:line="360" w:lineRule="auto"/>
        <w:ind w:firstLine="411" w:firstLineChars="196"/>
        <w:rPr>
          <w:rFonts w:asciiTheme="majorEastAsia" w:hAnsiTheme="majorEastAsia" w:eastAsiaTheme="majorEastAsia"/>
          <w:szCs w:val="21"/>
        </w:rPr>
      </w:pPr>
      <w:bookmarkStart w:id="56" w:name="_Hlk71407340"/>
      <w:r>
        <w:rPr>
          <w:rFonts w:hint="eastAsia" w:asciiTheme="majorEastAsia" w:hAnsiTheme="majorEastAsia" w:eastAsiaTheme="majorEastAsia"/>
          <w:szCs w:val="21"/>
        </w:rPr>
        <w:t>41.3因质疑投诉或其它原因导致项目结果变更或采购终止的，采购代理机构有权吊销中标通知书。</w:t>
      </w:r>
    </w:p>
    <w:p w14:paraId="44EABEBC">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41.4中标服务费</w:t>
      </w:r>
    </w:p>
    <w:p w14:paraId="6CF6951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中标人须在中标公告公示期结束后，向采购代理机构缴纳中标服务费。中标服务费收费标准根据《深圳市财政委员会关于规范深圳市社会采购代理机构的管理有关事项的补充通知（深财购[2018]27号）》文件相关规定，按照差额定率累进法计算。具体收费标准详见下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027"/>
        <w:gridCol w:w="2158"/>
        <w:gridCol w:w="2158"/>
      </w:tblGrid>
      <w:tr w14:paraId="4660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2802" w:type="dxa"/>
          </w:tcPr>
          <w:p w14:paraId="08538546">
            <w:pPr>
              <w:spacing w:line="360" w:lineRule="auto"/>
              <w:ind w:firstLine="1629" w:firstLineChars="776"/>
              <w:rPr>
                <w:rFonts w:asciiTheme="majorEastAsia" w:hAnsiTheme="majorEastAsia" w:eastAsiaTheme="majorEastAsia"/>
                <w:b/>
                <w:szCs w:val="21"/>
              </w:rPr>
            </w:pPr>
            <w:r>
              <w:rPr>
                <w:rFonts w:asciiTheme="majorEastAsia" w:hAnsiTheme="majorEastAsia" w:eastAsiaTheme="majorEastAsia"/>
                <w:szCs w:val="21"/>
              </w:rPr>
              <w:pict>
                <v:line id="_x0000_s2052" o:spid="_x0000_s2052" o:spt="20" style="position:absolute;left:0pt;flip:x y;margin-left:-1.5pt;margin-top:34.35pt;height:31.05pt;width:136.5pt;z-index:251661312;mso-width-relative:page;mso-height-relative:page;" coordsize="21600,21600" o:allowincell="f" o:gfxdata="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lQLG1AAAAAkBAAAPAAAAAAAAAAEAIAAAACIAAABkcnMvZG93&#10;bnJldi54bWxQSwECFAAUAAAACACHTuJA5DiR7gQCAAD/AwAADgAAAAAAAAABACAAAAAjAQAAZHJz&#10;L2Uyb0RvYy54bWxQSwUGAAAAAAYABgBZAQAAmQUAAAAA&#10;">
                  <v:path arrowok="t"/>
                  <v:fill focussize="0,0"/>
                  <v:stroke/>
                  <v:imagedata o:title=""/>
                  <o:lock v:ext="edit"/>
                </v:line>
              </w:pict>
            </w:r>
            <w:r>
              <w:rPr>
                <w:rFonts w:asciiTheme="majorEastAsia" w:hAnsiTheme="majorEastAsia" w:eastAsiaTheme="majorEastAsia"/>
                <w:szCs w:val="21"/>
              </w:rPr>
              <w:pict>
                <v:line id="_x0000_s2051" o:spid="_x0000_s2051" o:spt="20" style="position:absolute;left:0pt;flip:x y;margin-left:30.9pt;margin-top:2.5pt;height:62.9pt;width:104.1pt;z-index:251660288;mso-width-relative:page;mso-height-relative:page;" coordsize="21600,21600" o:allowincell="f" o:gfxdata="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dP1dMAAAAIAQAADwAAAAAAAAABACAAAAAiAAAAZHJzL2Rvd25yZXYu&#10;eG1sUEsBAhQAFAAAAAgAh07iQPjl/UYAAgAA/wMAAA4AAAAAAAAAAQAgAAAAIgEAAGRycy9lMm9E&#10;b2MueG1sUEsFBgAAAAAGAAYAWQEAAJQFAAAAAA==&#10;">
                  <v:path arrowok="t"/>
                  <v:fill focussize="0,0"/>
                  <v:stroke/>
                  <v:imagedata o:title=""/>
                  <o:lock v:ext="edit"/>
                </v:line>
              </w:pict>
            </w:r>
            <w:r>
              <w:rPr>
                <w:rFonts w:asciiTheme="majorEastAsia" w:hAnsiTheme="majorEastAsia" w:eastAsiaTheme="majorEastAsia"/>
                <w:szCs w:val="21"/>
              </w:rPr>
              <w:pict>
                <v:line id="_x0000_s2050" o:spid="_x0000_s2050" o:spt="20" style="position:absolute;left:0pt;margin-left:-9pt;margin-top:-0.5pt;height:0pt;width:0.05pt;z-index:251662336;mso-width-relative:page;mso-height-relative:page;"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U&#10;Y33D6gEAAOADAAAOAAAAAAAAAAEAIAAAACQBAABkcnMvZTJvRG9jLnhtbFBLBQYAAAAABgAGAFkB&#10;AACABQAAAAA=&#10;">
                  <v:path arrowok="t"/>
                  <v:fill focussize="0,0"/>
                  <v:stroke/>
                  <v:imagedata o:title=""/>
                  <o:lock v:ext="edit"/>
                </v:line>
              </w:pict>
            </w:r>
            <w:r>
              <w:rPr>
                <w:rFonts w:hint="eastAsia" w:asciiTheme="majorEastAsia" w:hAnsiTheme="majorEastAsia" w:eastAsiaTheme="majorEastAsia"/>
                <w:b/>
                <w:szCs w:val="21"/>
              </w:rPr>
              <w:t>服务类型</w:t>
            </w:r>
          </w:p>
          <w:p w14:paraId="0A9B9151">
            <w:pPr>
              <w:spacing w:line="360" w:lineRule="auto"/>
              <w:ind w:firstLine="637" w:firstLineChars="302"/>
              <w:rPr>
                <w:rFonts w:asciiTheme="majorEastAsia" w:hAnsiTheme="majorEastAsia" w:eastAsiaTheme="majorEastAsia"/>
                <w:b/>
                <w:szCs w:val="21"/>
              </w:rPr>
            </w:pPr>
            <w:r>
              <w:rPr>
                <w:rFonts w:hint="eastAsia" w:asciiTheme="majorEastAsia" w:hAnsiTheme="majorEastAsia" w:eastAsiaTheme="majorEastAsia"/>
                <w:b/>
                <w:szCs w:val="21"/>
              </w:rPr>
              <w:t>费率　　　　　</w:t>
            </w:r>
          </w:p>
          <w:p w14:paraId="680DD8E7">
            <w:pPr>
              <w:spacing w:line="360" w:lineRule="auto"/>
              <w:rPr>
                <w:rFonts w:asciiTheme="majorEastAsia" w:hAnsiTheme="majorEastAsia" w:eastAsiaTheme="majorEastAsia"/>
                <w:b/>
                <w:szCs w:val="21"/>
              </w:rPr>
            </w:pPr>
            <w:r>
              <w:rPr>
                <w:rFonts w:hint="eastAsia" w:asciiTheme="majorEastAsia" w:hAnsiTheme="majorEastAsia" w:eastAsiaTheme="majorEastAsia"/>
                <w:b/>
                <w:szCs w:val="21"/>
              </w:rPr>
              <w:t>中标金额（万元）</w:t>
            </w:r>
          </w:p>
        </w:tc>
        <w:tc>
          <w:tcPr>
            <w:tcW w:w="2027" w:type="dxa"/>
            <w:vAlign w:val="center"/>
          </w:tcPr>
          <w:p w14:paraId="29CD1A3B">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货物招标</w:t>
            </w:r>
          </w:p>
        </w:tc>
        <w:tc>
          <w:tcPr>
            <w:tcW w:w="2158" w:type="dxa"/>
            <w:vAlign w:val="center"/>
          </w:tcPr>
          <w:p w14:paraId="2E1BF4D3">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服务招标</w:t>
            </w:r>
          </w:p>
        </w:tc>
        <w:tc>
          <w:tcPr>
            <w:tcW w:w="2158" w:type="dxa"/>
            <w:vAlign w:val="center"/>
          </w:tcPr>
          <w:p w14:paraId="18A9A2D6">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工程招标</w:t>
            </w:r>
          </w:p>
        </w:tc>
      </w:tr>
      <w:tr w14:paraId="78BC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F6DEA76">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以下</w:t>
            </w:r>
          </w:p>
        </w:tc>
        <w:tc>
          <w:tcPr>
            <w:tcW w:w="2027" w:type="dxa"/>
            <w:vAlign w:val="center"/>
          </w:tcPr>
          <w:p w14:paraId="52BC5359">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431F169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1.500%</w:t>
            </w:r>
          </w:p>
        </w:tc>
        <w:tc>
          <w:tcPr>
            <w:tcW w:w="2158" w:type="dxa"/>
            <w:vAlign w:val="center"/>
          </w:tcPr>
          <w:p w14:paraId="0FD7DD21">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1.000%</w:t>
            </w:r>
          </w:p>
        </w:tc>
      </w:tr>
      <w:tr w14:paraId="6E93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C492C1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w:t>
            </w:r>
            <w:r>
              <w:rPr>
                <w:rFonts w:asciiTheme="majorEastAsia" w:hAnsiTheme="majorEastAsia" w:eastAsiaTheme="majorEastAsia"/>
                <w:szCs w:val="21"/>
              </w:rPr>
              <w:t>500</w:t>
            </w:r>
          </w:p>
        </w:tc>
        <w:tc>
          <w:tcPr>
            <w:tcW w:w="2027" w:type="dxa"/>
            <w:vAlign w:val="center"/>
          </w:tcPr>
          <w:p w14:paraId="666B6C3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1.100%</w:t>
            </w:r>
          </w:p>
        </w:tc>
        <w:tc>
          <w:tcPr>
            <w:tcW w:w="2158" w:type="dxa"/>
            <w:vAlign w:val="center"/>
          </w:tcPr>
          <w:p w14:paraId="01CAF80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724444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0.700%</w:t>
            </w:r>
          </w:p>
        </w:tc>
      </w:tr>
      <w:tr w14:paraId="37FE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7B89556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500</w:t>
            </w:r>
            <w:r>
              <w:rPr>
                <w:rFonts w:hint="eastAsia" w:asciiTheme="majorEastAsia" w:hAnsiTheme="majorEastAsia" w:eastAsiaTheme="majorEastAsia"/>
                <w:szCs w:val="21"/>
              </w:rPr>
              <w:t>～</w:t>
            </w:r>
            <w:r>
              <w:rPr>
                <w:rFonts w:asciiTheme="majorEastAsia" w:hAnsiTheme="majorEastAsia" w:eastAsiaTheme="majorEastAsia"/>
                <w:szCs w:val="21"/>
              </w:rPr>
              <w:t>1</w:t>
            </w:r>
            <w:r>
              <w:rPr>
                <w:rFonts w:hint="eastAsia" w:asciiTheme="majorEastAsia" w:hAnsiTheme="majorEastAsia" w:eastAsiaTheme="majorEastAsia"/>
                <w:szCs w:val="21"/>
              </w:rPr>
              <w:t>000</w:t>
            </w:r>
          </w:p>
        </w:tc>
        <w:tc>
          <w:tcPr>
            <w:tcW w:w="2027" w:type="dxa"/>
            <w:vAlign w:val="center"/>
          </w:tcPr>
          <w:p w14:paraId="66E4AE7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0.800%</w:t>
            </w:r>
          </w:p>
        </w:tc>
        <w:tc>
          <w:tcPr>
            <w:tcW w:w="2158" w:type="dxa"/>
            <w:vAlign w:val="center"/>
          </w:tcPr>
          <w:p w14:paraId="15B23B9C">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0.450%</w:t>
            </w:r>
          </w:p>
        </w:tc>
        <w:tc>
          <w:tcPr>
            <w:tcW w:w="2158" w:type="dxa"/>
            <w:vAlign w:val="center"/>
          </w:tcPr>
          <w:p w14:paraId="076FCE90">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0.550%</w:t>
            </w:r>
          </w:p>
        </w:tc>
      </w:tr>
      <w:tr w14:paraId="54824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36C7BCD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w:t>
            </w:r>
            <w:r>
              <w:rPr>
                <w:rFonts w:asciiTheme="majorEastAsia" w:hAnsiTheme="majorEastAsia" w:eastAsiaTheme="majorEastAsia"/>
                <w:szCs w:val="21"/>
              </w:rPr>
              <w:t>5</w:t>
            </w:r>
            <w:r>
              <w:rPr>
                <w:rFonts w:hint="eastAsia" w:asciiTheme="majorEastAsia" w:hAnsiTheme="majorEastAsia" w:eastAsiaTheme="majorEastAsia"/>
                <w:szCs w:val="21"/>
              </w:rPr>
              <w:t>000</w:t>
            </w:r>
          </w:p>
        </w:tc>
        <w:tc>
          <w:tcPr>
            <w:tcW w:w="2027" w:type="dxa"/>
            <w:vAlign w:val="center"/>
          </w:tcPr>
          <w:p w14:paraId="67F515B3">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0.500%</w:t>
            </w:r>
          </w:p>
        </w:tc>
        <w:tc>
          <w:tcPr>
            <w:tcW w:w="2158" w:type="dxa"/>
            <w:vAlign w:val="center"/>
          </w:tcPr>
          <w:p w14:paraId="5FA5299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61FE2B2E">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0.350%</w:t>
            </w:r>
          </w:p>
        </w:tc>
      </w:tr>
      <w:tr w14:paraId="5E8F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0C7D672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w:t>
            </w:r>
            <w:r>
              <w:rPr>
                <w:rFonts w:asciiTheme="majorEastAsia" w:hAnsiTheme="majorEastAsia" w:eastAsiaTheme="majorEastAsia"/>
                <w:szCs w:val="21"/>
              </w:rPr>
              <w:t>1</w:t>
            </w:r>
            <w:r>
              <w:rPr>
                <w:rFonts w:hint="eastAsia" w:asciiTheme="majorEastAsia" w:hAnsiTheme="majorEastAsia" w:eastAsiaTheme="majorEastAsia"/>
                <w:szCs w:val="21"/>
              </w:rPr>
              <w:t>0000</w:t>
            </w:r>
          </w:p>
        </w:tc>
        <w:tc>
          <w:tcPr>
            <w:tcW w:w="2027" w:type="dxa"/>
            <w:vAlign w:val="center"/>
          </w:tcPr>
          <w:p w14:paraId="3E8097B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0.250%</w:t>
            </w:r>
          </w:p>
        </w:tc>
        <w:tc>
          <w:tcPr>
            <w:tcW w:w="2158" w:type="dxa"/>
            <w:vAlign w:val="center"/>
          </w:tcPr>
          <w:p w14:paraId="719ECE5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0.100%</w:t>
            </w:r>
          </w:p>
        </w:tc>
        <w:tc>
          <w:tcPr>
            <w:tcW w:w="2158" w:type="dxa"/>
            <w:vAlign w:val="center"/>
          </w:tcPr>
          <w:p w14:paraId="3F15E06B">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0.200%</w:t>
            </w:r>
          </w:p>
        </w:tc>
      </w:tr>
      <w:tr w14:paraId="4612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802" w:type="dxa"/>
            <w:vAlign w:val="center"/>
          </w:tcPr>
          <w:p w14:paraId="30FED40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0000～</w:t>
            </w:r>
            <w:r>
              <w:rPr>
                <w:rFonts w:asciiTheme="majorEastAsia" w:hAnsiTheme="majorEastAsia" w:eastAsiaTheme="majorEastAsia"/>
                <w:szCs w:val="21"/>
              </w:rPr>
              <w:t>5</w:t>
            </w:r>
            <w:r>
              <w:rPr>
                <w:rFonts w:hint="eastAsia" w:asciiTheme="majorEastAsia" w:hAnsiTheme="majorEastAsia" w:eastAsiaTheme="majorEastAsia"/>
                <w:szCs w:val="21"/>
              </w:rPr>
              <w:t>0000</w:t>
            </w:r>
          </w:p>
        </w:tc>
        <w:tc>
          <w:tcPr>
            <w:tcW w:w="2027" w:type="dxa"/>
            <w:vAlign w:val="center"/>
          </w:tcPr>
          <w:p w14:paraId="532C1118">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662C293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0.050%</w:t>
            </w:r>
          </w:p>
        </w:tc>
        <w:tc>
          <w:tcPr>
            <w:tcW w:w="2158" w:type="dxa"/>
            <w:vAlign w:val="center"/>
          </w:tcPr>
          <w:p w14:paraId="780E35DA">
            <w:pPr>
              <w:snapToGrid w:val="0"/>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0.050%</w:t>
            </w:r>
          </w:p>
        </w:tc>
      </w:tr>
      <w:tr w14:paraId="24EE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4959DF7D">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w:t>
            </w:r>
            <w:r>
              <w:rPr>
                <w:rFonts w:hint="eastAsia" w:asciiTheme="majorEastAsia" w:hAnsiTheme="majorEastAsia" w:eastAsiaTheme="majorEastAsia"/>
                <w:szCs w:val="21"/>
              </w:rPr>
              <w:t>0000～</w:t>
            </w:r>
            <w:r>
              <w:rPr>
                <w:rFonts w:asciiTheme="majorEastAsia" w:hAnsiTheme="majorEastAsia" w:eastAsiaTheme="majorEastAsia"/>
                <w:szCs w:val="21"/>
              </w:rPr>
              <w:t>10</w:t>
            </w:r>
            <w:r>
              <w:rPr>
                <w:rFonts w:hint="eastAsia" w:asciiTheme="majorEastAsia" w:hAnsiTheme="majorEastAsia" w:eastAsiaTheme="majorEastAsia"/>
                <w:szCs w:val="21"/>
              </w:rPr>
              <w:t>0000</w:t>
            </w:r>
          </w:p>
        </w:tc>
        <w:tc>
          <w:tcPr>
            <w:tcW w:w="2027" w:type="dxa"/>
            <w:vAlign w:val="center"/>
          </w:tcPr>
          <w:p w14:paraId="65F021D1">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397C7B5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0.035%</w:t>
            </w:r>
          </w:p>
        </w:tc>
        <w:tc>
          <w:tcPr>
            <w:tcW w:w="2158" w:type="dxa"/>
            <w:vAlign w:val="center"/>
          </w:tcPr>
          <w:p w14:paraId="5BCBC7AF">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0.035%</w:t>
            </w:r>
          </w:p>
        </w:tc>
      </w:tr>
      <w:tr w14:paraId="3FC4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145DB014">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w:t>
            </w:r>
            <w:r>
              <w:rPr>
                <w:rFonts w:hint="eastAsia" w:asciiTheme="majorEastAsia" w:hAnsiTheme="majorEastAsia" w:eastAsiaTheme="majorEastAsia"/>
                <w:szCs w:val="21"/>
              </w:rPr>
              <w:t>0000～</w:t>
            </w:r>
            <w:r>
              <w:rPr>
                <w:rFonts w:asciiTheme="majorEastAsia" w:hAnsiTheme="majorEastAsia" w:eastAsiaTheme="majorEastAsia"/>
                <w:szCs w:val="21"/>
              </w:rPr>
              <w:t>50</w:t>
            </w:r>
            <w:r>
              <w:rPr>
                <w:rFonts w:hint="eastAsia" w:asciiTheme="majorEastAsia" w:hAnsiTheme="majorEastAsia" w:eastAsiaTheme="majorEastAsia"/>
                <w:szCs w:val="21"/>
              </w:rPr>
              <w:t>0000</w:t>
            </w:r>
          </w:p>
        </w:tc>
        <w:tc>
          <w:tcPr>
            <w:tcW w:w="2027" w:type="dxa"/>
            <w:vAlign w:val="center"/>
          </w:tcPr>
          <w:p w14:paraId="247AC84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78774BF5">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0.008%</w:t>
            </w:r>
          </w:p>
        </w:tc>
        <w:tc>
          <w:tcPr>
            <w:tcW w:w="2158" w:type="dxa"/>
            <w:vAlign w:val="center"/>
          </w:tcPr>
          <w:p w14:paraId="1C411D0D">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0.008%</w:t>
            </w:r>
          </w:p>
        </w:tc>
      </w:tr>
      <w:tr w14:paraId="2C12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802" w:type="dxa"/>
            <w:vAlign w:val="center"/>
          </w:tcPr>
          <w:p w14:paraId="5710D9E7">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50</w:t>
            </w:r>
            <w:r>
              <w:rPr>
                <w:rFonts w:hint="eastAsia" w:asciiTheme="majorEastAsia" w:hAnsiTheme="majorEastAsia" w:eastAsiaTheme="majorEastAsia"/>
                <w:szCs w:val="21"/>
              </w:rPr>
              <w:t>0000～</w:t>
            </w:r>
            <w:r>
              <w:rPr>
                <w:rFonts w:asciiTheme="majorEastAsia" w:hAnsiTheme="majorEastAsia" w:eastAsiaTheme="majorEastAsia"/>
                <w:szCs w:val="21"/>
              </w:rPr>
              <w:t>100</w:t>
            </w:r>
            <w:r>
              <w:rPr>
                <w:rFonts w:hint="eastAsia" w:asciiTheme="majorEastAsia" w:hAnsiTheme="majorEastAsia" w:eastAsiaTheme="majorEastAsia"/>
                <w:szCs w:val="21"/>
              </w:rPr>
              <w:t>0000</w:t>
            </w:r>
          </w:p>
        </w:tc>
        <w:tc>
          <w:tcPr>
            <w:tcW w:w="2027" w:type="dxa"/>
            <w:vAlign w:val="center"/>
          </w:tcPr>
          <w:p w14:paraId="778D081A">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25234B1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0.006%</w:t>
            </w:r>
          </w:p>
        </w:tc>
        <w:tc>
          <w:tcPr>
            <w:tcW w:w="2158" w:type="dxa"/>
            <w:vAlign w:val="center"/>
          </w:tcPr>
          <w:p w14:paraId="04D3D749">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0.006%</w:t>
            </w:r>
          </w:p>
        </w:tc>
      </w:tr>
      <w:tr w14:paraId="5525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802" w:type="dxa"/>
            <w:vAlign w:val="center"/>
          </w:tcPr>
          <w:p w14:paraId="2C21AE6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100</w:t>
            </w:r>
            <w:r>
              <w:rPr>
                <w:rFonts w:hint="eastAsia" w:asciiTheme="majorEastAsia" w:hAnsiTheme="majorEastAsia" w:eastAsiaTheme="majorEastAsia"/>
                <w:szCs w:val="21"/>
              </w:rPr>
              <w:t>0000以上</w:t>
            </w:r>
          </w:p>
        </w:tc>
        <w:tc>
          <w:tcPr>
            <w:tcW w:w="2027" w:type="dxa"/>
            <w:vAlign w:val="center"/>
          </w:tcPr>
          <w:p w14:paraId="6A8E694F">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7D99CD4B">
            <w:pPr>
              <w:spacing w:line="360" w:lineRule="auto"/>
              <w:jc w:val="center"/>
              <w:rPr>
                <w:rFonts w:asciiTheme="majorEastAsia" w:hAnsiTheme="majorEastAsia" w:eastAsiaTheme="majorEastAsia"/>
                <w:szCs w:val="21"/>
              </w:rPr>
            </w:pPr>
            <w:r>
              <w:rPr>
                <w:rFonts w:asciiTheme="majorEastAsia" w:hAnsiTheme="majorEastAsia" w:eastAsiaTheme="majorEastAsia"/>
                <w:szCs w:val="21"/>
              </w:rPr>
              <w:t>0.004%</w:t>
            </w:r>
          </w:p>
        </w:tc>
        <w:tc>
          <w:tcPr>
            <w:tcW w:w="2158" w:type="dxa"/>
            <w:vAlign w:val="center"/>
          </w:tcPr>
          <w:p w14:paraId="1D0E3284">
            <w:pPr>
              <w:snapToGrid w:val="0"/>
              <w:spacing w:line="360" w:lineRule="auto"/>
              <w:jc w:val="center"/>
              <w:rPr>
                <w:rFonts w:asciiTheme="majorEastAsia" w:hAnsiTheme="majorEastAsia" w:eastAsiaTheme="majorEastAsia"/>
                <w:bCs/>
                <w:szCs w:val="21"/>
              </w:rPr>
            </w:pPr>
            <w:r>
              <w:rPr>
                <w:rFonts w:hint="eastAsia" w:asciiTheme="majorEastAsia" w:hAnsiTheme="majorEastAsia" w:eastAsiaTheme="majorEastAsia"/>
                <w:bCs/>
                <w:szCs w:val="21"/>
              </w:rPr>
              <w:t>0.004%</w:t>
            </w:r>
          </w:p>
        </w:tc>
      </w:tr>
    </w:tbl>
    <w:p w14:paraId="5D4DD295">
      <w:pPr>
        <w:spacing w:line="360" w:lineRule="auto"/>
        <w:ind w:firstLine="411" w:firstLineChars="196"/>
        <w:rPr>
          <w:rFonts w:asciiTheme="majorEastAsia" w:hAnsiTheme="majorEastAsia" w:eastAsiaTheme="majorEastAsia"/>
          <w:szCs w:val="21"/>
        </w:rPr>
      </w:pPr>
    </w:p>
    <w:bookmarkEnd w:id="56"/>
    <w:p w14:paraId="3561AD6B">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公开招标失败的后续处理</w:t>
      </w:r>
    </w:p>
    <w:p w14:paraId="0968AF9C">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42．公开招标失败的处理</w:t>
      </w:r>
    </w:p>
    <w:p w14:paraId="4BC185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42.1本项目公开招标过程中若由于投标截止后实际递交</w:t>
      </w:r>
      <w:r>
        <w:rPr>
          <w:rFonts w:asciiTheme="majorEastAsia" w:hAnsiTheme="majorEastAsia" w:eastAsiaTheme="majorEastAsia"/>
          <w:szCs w:val="21"/>
        </w:rPr>
        <w:t>投标</w:t>
      </w:r>
      <w:r>
        <w:rPr>
          <w:rFonts w:hint="eastAsia" w:asciiTheme="majorEastAsia" w:hAnsiTheme="majorEastAsia" w:eastAsiaTheme="majorEastAsia"/>
          <w:szCs w:val="21"/>
        </w:rPr>
        <w:t>文件的供应商数量不足、经评审委员会评审对招标文件作实质响应的供应商不足等原因造成公开招标失败，可由</w:t>
      </w:r>
      <w:r>
        <w:rPr>
          <w:rFonts w:hint="eastAsia" w:cs="宋体" w:asciiTheme="majorEastAsia" w:hAnsiTheme="majorEastAsia" w:eastAsiaTheme="majorEastAsia"/>
          <w:szCs w:val="21"/>
        </w:rPr>
        <w:t>采购代理机构</w:t>
      </w:r>
      <w:r>
        <w:rPr>
          <w:rFonts w:hint="eastAsia" w:asciiTheme="majorEastAsia" w:hAnsiTheme="majorEastAsia" w:eastAsiaTheme="majorEastAsia"/>
          <w:szCs w:val="21"/>
        </w:rPr>
        <w:t>重新组织采购。</w:t>
      </w:r>
    </w:p>
    <w:p w14:paraId="433C664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42.2对公开招标失败的项目，评审委员会在出具该项目招标失败结论的同时，可以提出重新采购组织形式的建议，以及进一步完善招标文件的资格、技术、商务要求的修改建议。</w:t>
      </w:r>
    </w:p>
    <w:p w14:paraId="13F9C12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42.3重新组织采购有以下两种组织形式：</w:t>
      </w:r>
    </w:p>
    <w:p w14:paraId="2CAF271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（1）由采购代理机构重新组织公开招标；</w:t>
      </w:r>
    </w:p>
    <w:p w14:paraId="026A8529">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（2）根据实际情况需要向同级财政部门提出非公开招标方式申请的，经同级财政部门批准，公开招标失败采购项目可转为竞争性谈判或单一来源谈判方式采购。</w:t>
      </w:r>
    </w:p>
    <w:p w14:paraId="0483912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42.4公开招标失败的采购项目重新组织公开招标，由采购代理机构重新按公开招标流程组织采购活动。</w:t>
      </w:r>
    </w:p>
    <w:p w14:paraId="7FB0ACA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42.5公开招标失败的采购项目经同级财政部门批准转为竞争性谈判或单一来源谈判方式采购的，按规定要求组织政府采购工作。</w:t>
      </w:r>
    </w:p>
    <w:p w14:paraId="0CB78C21">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bookmarkStart w:id="57" w:name="_Hlk72439043"/>
      <w:r>
        <w:rPr>
          <w:rFonts w:hint="eastAsia" w:asciiTheme="majorEastAsia" w:hAnsiTheme="majorEastAsia" w:eastAsiaTheme="majorEastAsia"/>
          <w:b/>
          <w:bCs/>
          <w:kern w:val="0"/>
          <w:sz w:val="28"/>
          <w:szCs w:val="28"/>
        </w:rPr>
        <w:t>合同的授予与备案</w:t>
      </w:r>
      <w:bookmarkEnd w:id="57"/>
    </w:p>
    <w:p w14:paraId="154D94C9">
      <w:pPr>
        <w:spacing w:line="360" w:lineRule="auto"/>
        <w:rPr>
          <w:rFonts w:asciiTheme="majorEastAsia" w:hAnsiTheme="majorEastAsia" w:eastAsiaTheme="majorEastAsia"/>
          <w:b/>
          <w:bCs/>
          <w:szCs w:val="21"/>
        </w:rPr>
      </w:pPr>
      <w:bookmarkStart w:id="58" w:name="_Toc73517679"/>
      <w:bookmarkStart w:id="59" w:name="_Toc73521674"/>
      <w:bookmarkStart w:id="60" w:name="_Toc100052408"/>
      <w:bookmarkStart w:id="61" w:name="_Toc73521586"/>
      <w:bookmarkStart w:id="62" w:name="_Toc73518157"/>
      <w:bookmarkStart w:id="63" w:name="_Hlk72439088"/>
      <w:r>
        <w:rPr>
          <w:rFonts w:hint="eastAsia" w:asciiTheme="majorEastAsia" w:hAnsiTheme="majorEastAsia" w:eastAsiaTheme="majorEastAsia"/>
          <w:b/>
          <w:bCs/>
          <w:szCs w:val="21"/>
        </w:rPr>
        <w:t>43．合同授予标准</w:t>
      </w:r>
      <w:bookmarkEnd w:id="58"/>
      <w:bookmarkEnd w:id="59"/>
      <w:bookmarkEnd w:id="60"/>
      <w:bookmarkEnd w:id="61"/>
      <w:bookmarkEnd w:id="62"/>
    </w:p>
    <w:p w14:paraId="6F5893F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本项目的合同将授予经本招标文件规定评审确定的中标供应商。</w:t>
      </w:r>
    </w:p>
    <w:p w14:paraId="195BD9AC">
      <w:pPr>
        <w:spacing w:line="360" w:lineRule="auto"/>
        <w:rPr>
          <w:rFonts w:asciiTheme="majorEastAsia" w:hAnsiTheme="majorEastAsia" w:eastAsiaTheme="majorEastAsia"/>
          <w:b/>
          <w:bCs/>
          <w:szCs w:val="21"/>
        </w:rPr>
      </w:pPr>
      <w:bookmarkStart w:id="64" w:name="_Toc100052409"/>
      <w:bookmarkStart w:id="65" w:name="_Toc73518158"/>
      <w:bookmarkStart w:id="66" w:name="_Toc73521675"/>
      <w:bookmarkStart w:id="67" w:name="_Toc73521587"/>
      <w:bookmarkStart w:id="68" w:name="_Toc73517680"/>
      <w:r>
        <w:rPr>
          <w:rFonts w:hint="eastAsia" w:asciiTheme="majorEastAsia" w:hAnsiTheme="majorEastAsia" w:eastAsiaTheme="majorEastAsia"/>
          <w:b/>
          <w:bCs/>
          <w:szCs w:val="21"/>
        </w:rPr>
        <w:t>44．</w:t>
      </w:r>
      <w:bookmarkEnd w:id="64"/>
      <w:bookmarkEnd w:id="65"/>
      <w:bookmarkEnd w:id="66"/>
      <w:bookmarkEnd w:id="67"/>
      <w:bookmarkEnd w:id="68"/>
      <w:r>
        <w:rPr>
          <w:rFonts w:hint="eastAsia" w:asciiTheme="majorEastAsia" w:hAnsiTheme="majorEastAsia" w:eastAsiaTheme="majorEastAsia"/>
          <w:b/>
          <w:bCs/>
          <w:szCs w:val="21"/>
        </w:rPr>
        <w:t>接受和拒绝任何或所有投标的权力</w:t>
      </w:r>
    </w:p>
    <w:p w14:paraId="3093427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73536E03">
      <w:pPr>
        <w:spacing w:line="360" w:lineRule="auto"/>
        <w:rPr>
          <w:rFonts w:asciiTheme="majorEastAsia" w:hAnsiTheme="majorEastAsia" w:eastAsiaTheme="majorEastAsia"/>
          <w:b/>
          <w:bCs/>
          <w:szCs w:val="21"/>
        </w:rPr>
      </w:pPr>
      <w:bookmarkStart w:id="69" w:name="_Toc73517682"/>
      <w:bookmarkStart w:id="70" w:name="_Toc73521677"/>
      <w:bookmarkStart w:id="71" w:name="_Toc73518160"/>
      <w:bookmarkStart w:id="72" w:name="_Toc73521589"/>
      <w:bookmarkStart w:id="73" w:name="_Toc100052410"/>
      <w:r>
        <w:rPr>
          <w:rFonts w:hint="eastAsia" w:asciiTheme="majorEastAsia" w:hAnsiTheme="majorEastAsia" w:eastAsiaTheme="majorEastAsia"/>
          <w:b/>
          <w:bCs/>
          <w:szCs w:val="21"/>
        </w:rPr>
        <w:t>45．合同的签订</w:t>
      </w:r>
      <w:bookmarkEnd w:id="69"/>
      <w:bookmarkEnd w:id="70"/>
      <w:bookmarkEnd w:id="71"/>
      <w:bookmarkEnd w:id="72"/>
      <w:bookmarkEnd w:id="73"/>
    </w:p>
    <w:p w14:paraId="5772B92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45.1中标人将于中标通知书发出之日起十个工作日内，按照采购文件（招标文件和投标文件等）内容与采购人签订政府采购合同；合同的实质性内容应当符合招标文件的规定；</w:t>
      </w:r>
    </w:p>
    <w:p w14:paraId="45122A8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45.2中标人如不按本通用条款第45</w:t>
      </w:r>
      <w:r>
        <w:rPr>
          <w:rFonts w:asciiTheme="majorEastAsia" w:hAnsiTheme="majorEastAsia" w:eastAsiaTheme="majorEastAsia"/>
          <w:szCs w:val="21"/>
        </w:rPr>
        <w:t>.1</w:t>
      </w:r>
      <w:r>
        <w:rPr>
          <w:rFonts w:hint="eastAsia" w:asciiTheme="majorEastAsia" w:hAnsiTheme="majorEastAsia" w:eastAsiaTheme="majorEastAsia"/>
          <w:szCs w:val="21"/>
        </w:rPr>
        <w:t>款的规定与采购人签订合同，</w:t>
      </w:r>
      <w:r>
        <w:rPr>
          <w:rFonts w:cs="宋体" w:asciiTheme="majorEastAsia" w:hAnsiTheme="majorEastAsia" w:eastAsiaTheme="majorEastAsia"/>
          <w:szCs w:val="21"/>
        </w:rPr>
        <w:t>情节严重的，由</w:t>
      </w:r>
      <w:r>
        <w:rPr>
          <w:rFonts w:hint="eastAsia" w:cs="宋体" w:asciiTheme="majorEastAsia" w:hAnsiTheme="majorEastAsia" w:eastAsiaTheme="majorEastAsia"/>
          <w:szCs w:val="21"/>
        </w:rPr>
        <w:t>同级财政</w:t>
      </w:r>
      <w:r>
        <w:rPr>
          <w:rFonts w:cs="宋体" w:asciiTheme="majorEastAsia" w:hAnsiTheme="majorEastAsia" w:eastAsiaTheme="majorEastAsia"/>
          <w:szCs w:val="21"/>
        </w:rPr>
        <w:t>部门记入供应商诚信档案，予以通报</w:t>
      </w:r>
      <w:r>
        <w:rPr>
          <w:rFonts w:hint="eastAsia" w:asciiTheme="majorEastAsia" w:hAnsiTheme="majorEastAsia" w:eastAsiaTheme="majorEastAsia"/>
          <w:szCs w:val="21"/>
        </w:rPr>
        <w:t>；</w:t>
      </w:r>
    </w:p>
    <w:p w14:paraId="7FAB160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45.3中标人应当按照合同约定履行义务，完成中标项目，不得将中标项目转让（转包）给他人。</w:t>
      </w:r>
    </w:p>
    <w:p w14:paraId="447E5DC8">
      <w:pPr>
        <w:spacing w:line="360" w:lineRule="auto"/>
        <w:rPr>
          <w:rFonts w:asciiTheme="majorEastAsia" w:hAnsiTheme="majorEastAsia" w:eastAsiaTheme="majorEastAsia"/>
          <w:b/>
          <w:bCs/>
          <w:szCs w:val="21"/>
        </w:rPr>
      </w:pPr>
      <w:bookmarkStart w:id="74" w:name="_Toc73521590"/>
      <w:bookmarkStart w:id="75" w:name="_Toc100052411"/>
      <w:bookmarkStart w:id="76" w:name="_Toc73518161"/>
      <w:bookmarkStart w:id="77" w:name="_Toc73517683"/>
      <w:bookmarkStart w:id="78" w:name="_Toc73521678"/>
      <w:r>
        <w:rPr>
          <w:rFonts w:hint="eastAsia" w:asciiTheme="majorEastAsia" w:hAnsiTheme="majorEastAsia" w:eastAsiaTheme="majorEastAsia"/>
          <w:b/>
          <w:bCs/>
          <w:szCs w:val="21"/>
        </w:rPr>
        <w:t>46．履约担保</w:t>
      </w:r>
      <w:bookmarkEnd w:id="74"/>
      <w:bookmarkEnd w:id="75"/>
      <w:bookmarkEnd w:id="76"/>
      <w:bookmarkEnd w:id="77"/>
      <w:bookmarkEnd w:id="78"/>
    </w:p>
    <w:p w14:paraId="6FFA052D">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46.1在签订项目合同的同时，中标人应按“对通用条款的补充内容”中规定的金额向采购人提交履约担保；</w:t>
      </w:r>
    </w:p>
    <w:p w14:paraId="0868091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46.2，允许供应商自主选择以支票、汇票、本票、保函等非现金方式提交履约担保；</w:t>
      </w:r>
      <w:r>
        <w:rPr>
          <w:rFonts w:asciiTheme="majorEastAsia" w:hAnsiTheme="majorEastAsia" w:eastAsiaTheme="majorEastAsia"/>
          <w:szCs w:val="21"/>
        </w:rPr>
        <w:t>中标</w:t>
      </w:r>
      <w:r>
        <w:rPr>
          <w:rFonts w:hint="eastAsia" w:asciiTheme="majorEastAsia" w:hAnsiTheme="majorEastAsia" w:eastAsiaTheme="majorEastAsia"/>
          <w:szCs w:val="21"/>
        </w:rPr>
        <w:t>人</w:t>
      </w:r>
      <w:r>
        <w:rPr>
          <w:rFonts w:asciiTheme="majorEastAsia" w:hAnsiTheme="majorEastAsia" w:eastAsiaTheme="majorEastAsia"/>
          <w:szCs w:val="21"/>
        </w:rPr>
        <w:t>提交履约</w:t>
      </w:r>
      <w:r>
        <w:rPr>
          <w:rFonts w:hint="eastAsia" w:asciiTheme="majorEastAsia" w:hAnsiTheme="majorEastAsia" w:eastAsiaTheme="majorEastAsia"/>
          <w:szCs w:val="21"/>
        </w:rPr>
        <w:t>担保不是</w:t>
      </w:r>
      <w:r>
        <w:rPr>
          <w:rFonts w:asciiTheme="majorEastAsia" w:hAnsiTheme="majorEastAsia" w:eastAsiaTheme="majorEastAsia"/>
          <w:szCs w:val="21"/>
        </w:rPr>
        <w:t>合同签订的</w:t>
      </w:r>
      <w:r>
        <w:rPr>
          <w:rFonts w:hint="eastAsia" w:asciiTheme="majorEastAsia" w:hAnsiTheme="majorEastAsia" w:eastAsiaTheme="majorEastAsia"/>
          <w:szCs w:val="21"/>
        </w:rPr>
        <w:t>前提</w:t>
      </w:r>
      <w:r>
        <w:rPr>
          <w:rFonts w:asciiTheme="majorEastAsia" w:hAnsiTheme="majorEastAsia" w:eastAsiaTheme="majorEastAsia"/>
          <w:szCs w:val="21"/>
        </w:rPr>
        <w:t>条件，不要求中标</w:t>
      </w:r>
      <w:r>
        <w:rPr>
          <w:rFonts w:hint="eastAsia" w:asciiTheme="majorEastAsia" w:hAnsiTheme="majorEastAsia" w:eastAsiaTheme="majorEastAsia"/>
          <w:szCs w:val="21"/>
        </w:rPr>
        <w:t>人</w:t>
      </w:r>
      <w:r>
        <w:rPr>
          <w:rFonts w:asciiTheme="majorEastAsia" w:hAnsiTheme="majorEastAsia" w:eastAsiaTheme="majorEastAsia"/>
          <w:szCs w:val="21"/>
        </w:rPr>
        <w:t>提供除法律、法规明确规定外的其他担保</w:t>
      </w:r>
      <w:r>
        <w:rPr>
          <w:rFonts w:hint="eastAsia" w:asciiTheme="majorEastAsia" w:hAnsiTheme="majorEastAsia" w:eastAsiaTheme="majorEastAsia"/>
          <w:szCs w:val="21"/>
        </w:rPr>
        <w:t>。</w:t>
      </w:r>
    </w:p>
    <w:p w14:paraId="78E87E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47. 合同备案</w:t>
      </w:r>
    </w:p>
    <w:p w14:paraId="6718E4C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采购人与中标人应于合同签订之日起十日内，由采购人或委托中标人将采购合同副本抄送合同备案工作实施机构备案。</w:t>
      </w:r>
    </w:p>
    <w:p w14:paraId="7C4F0717">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48. 合同变更</w:t>
      </w:r>
    </w:p>
    <w:p w14:paraId="2F51F3D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合同变更事宜按《深圳市财政局 深圳市政府采购中心关于进一步加强市本级政府采购合同备案管理工作的通知》（深财购〔2019〕43号）相关规定执行。</w:t>
      </w:r>
    </w:p>
    <w:p w14:paraId="7F7A1DD0">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49. 项目验收</w:t>
      </w:r>
    </w:p>
    <w:p w14:paraId="74A8280F">
      <w:pPr>
        <w:spacing w:line="360" w:lineRule="auto"/>
        <w:ind w:right="176" w:firstLine="420"/>
        <w:rPr>
          <w:rFonts w:asciiTheme="majorEastAsia" w:hAnsiTheme="majorEastAsia" w:eastAsiaTheme="majorEastAsia"/>
          <w:szCs w:val="21"/>
        </w:rPr>
      </w:pPr>
      <w:r>
        <w:rPr>
          <w:rFonts w:hint="eastAsia" w:asciiTheme="majorEastAsia" w:hAnsiTheme="majorEastAsia" w:eastAsiaTheme="majorEastAsia"/>
          <w:szCs w:val="21"/>
        </w:rPr>
        <w:t>49.1采购人应当按照招标文件和合同规定的标准和方法，及时组织验收。</w:t>
      </w:r>
    </w:p>
    <w:p w14:paraId="5C38CCD5">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50. 宣传</w:t>
      </w:r>
    </w:p>
    <w:p w14:paraId="03A0E4D2">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凡与政府采购活动有关的宣传或广告，若当中提及政府采购，</w:t>
      </w:r>
      <w:r>
        <w:rPr>
          <w:rFonts w:asciiTheme="majorEastAsia" w:hAnsiTheme="majorEastAsia" w:eastAsiaTheme="majorEastAsia"/>
          <w:szCs w:val="21"/>
        </w:rPr>
        <w:t>必须事先将具体对外宣传方案报</w:t>
      </w:r>
      <w:r>
        <w:rPr>
          <w:rFonts w:hint="eastAsia" w:asciiTheme="majorEastAsia" w:hAnsiTheme="majorEastAsia" w:eastAsiaTheme="majorEastAsia"/>
          <w:szCs w:val="21"/>
        </w:rPr>
        <w:t>同级财政部门</w:t>
      </w:r>
      <w:r>
        <w:rPr>
          <w:rFonts w:asciiTheme="majorEastAsia" w:hAnsiTheme="majorEastAsia" w:eastAsiaTheme="majorEastAsia"/>
          <w:szCs w:val="21"/>
        </w:rPr>
        <w:t>和</w:t>
      </w:r>
      <w:r>
        <w:rPr>
          <w:rFonts w:hint="eastAsia" w:asciiTheme="majorEastAsia" w:hAnsiTheme="majorEastAsia" w:eastAsiaTheme="majorEastAsia"/>
          <w:szCs w:val="21"/>
        </w:rPr>
        <w:t>采购代理机构</w:t>
      </w:r>
      <w:r>
        <w:rPr>
          <w:rFonts w:asciiTheme="majorEastAsia" w:hAnsiTheme="majorEastAsia" w:eastAsiaTheme="majorEastAsia"/>
          <w:szCs w:val="21"/>
        </w:rPr>
        <w:t>，并征得其同意。对外市场宣传包括但不限于以下形式：</w:t>
      </w:r>
    </w:p>
    <w:p w14:paraId="08982224">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a.名片、宣传册、广告标语等；</w:t>
      </w:r>
    </w:p>
    <w:p w14:paraId="59435A14">
      <w:pPr>
        <w:spacing w:line="360" w:lineRule="auto"/>
        <w:ind w:left="210" w:leftChars="100" w:firstLine="411" w:firstLineChars="196"/>
        <w:rPr>
          <w:rFonts w:asciiTheme="majorEastAsia" w:hAnsiTheme="majorEastAsia" w:eastAsiaTheme="majorEastAsia"/>
          <w:szCs w:val="21"/>
        </w:rPr>
      </w:pPr>
      <w:r>
        <w:rPr>
          <w:rFonts w:asciiTheme="majorEastAsia" w:hAnsiTheme="majorEastAsia" w:eastAsiaTheme="majorEastAsia"/>
          <w:szCs w:val="21"/>
        </w:rPr>
        <w:t>b.案例介绍、推广等；</w:t>
      </w:r>
    </w:p>
    <w:p w14:paraId="1B752F1A">
      <w:pPr>
        <w:spacing w:line="360" w:lineRule="auto"/>
        <w:ind w:left="210" w:leftChars="100" w:firstLine="411" w:firstLineChars="196"/>
        <w:rPr>
          <w:rFonts w:asciiTheme="majorEastAsia" w:hAnsiTheme="majorEastAsia" w:eastAsiaTheme="majorEastAsia"/>
          <w:szCs w:val="21"/>
        </w:rPr>
      </w:pPr>
      <w:r>
        <w:rPr>
          <w:rFonts w:hint="eastAsia" w:asciiTheme="majorEastAsia" w:hAnsiTheme="majorEastAsia" w:eastAsiaTheme="majorEastAsia"/>
          <w:szCs w:val="21"/>
        </w:rPr>
        <w:t>c.工作</w:t>
      </w:r>
      <w:r>
        <w:rPr>
          <w:rFonts w:asciiTheme="majorEastAsia" w:hAnsiTheme="majorEastAsia" w:eastAsiaTheme="majorEastAsia"/>
          <w:szCs w:val="21"/>
        </w:rPr>
        <w:t>人员向其他消费群体宣传。</w:t>
      </w:r>
    </w:p>
    <w:p w14:paraId="5EF367D1">
      <w:pPr>
        <w:spacing w:line="360" w:lineRule="auto"/>
        <w:rPr>
          <w:rFonts w:asciiTheme="majorEastAsia" w:hAnsiTheme="majorEastAsia" w:eastAsiaTheme="majorEastAsia"/>
          <w:b/>
          <w:bCs/>
          <w:szCs w:val="21"/>
        </w:rPr>
      </w:pPr>
      <w:r>
        <w:rPr>
          <w:rFonts w:hint="eastAsia" w:asciiTheme="majorEastAsia" w:hAnsiTheme="majorEastAsia" w:eastAsiaTheme="majorEastAsia"/>
          <w:b/>
          <w:bCs/>
          <w:szCs w:val="21"/>
        </w:rPr>
        <w:t>51. 供应商违法责任</w:t>
      </w:r>
    </w:p>
    <w:p w14:paraId="2A6C0FE0">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1.1</w:t>
      </w:r>
      <w:r>
        <w:rPr>
          <w:rFonts w:hint="eastAsia" w:asciiTheme="majorEastAsia" w:hAnsiTheme="majorEastAsia" w:eastAsiaTheme="major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EA168E">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（1）在采购活动中应当回避而未回避的；</w:t>
      </w:r>
    </w:p>
    <w:p w14:paraId="09D3013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（2）未按本条例规定签订、履行采购合同，造成严重后果的；</w:t>
      </w:r>
    </w:p>
    <w:p w14:paraId="331E406F">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（3）隐瞒真实情况，提供虚假资料的；</w:t>
      </w:r>
    </w:p>
    <w:p w14:paraId="1BC62103">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（4）以非法手段排斥其他供应商参与竞争的；</w:t>
      </w:r>
    </w:p>
    <w:p w14:paraId="07CBBD45">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（5）与其他采购参加人串通投标的；</w:t>
      </w:r>
    </w:p>
    <w:p w14:paraId="4910C6C1">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（6）恶意投诉的；</w:t>
      </w:r>
    </w:p>
    <w:p w14:paraId="5C61E7A4">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（7）向采购项目相关人行贿或者提供其他不当利益的；</w:t>
      </w:r>
    </w:p>
    <w:p w14:paraId="18F13BC8">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（8）阻碍、抗拒主管部门监督检查的；</w:t>
      </w:r>
    </w:p>
    <w:p w14:paraId="20F19E1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（9）其他违反本条例规定的行为。</w:t>
      </w:r>
    </w:p>
    <w:p w14:paraId="702C80F6">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 xml:space="preserve">1.2 </w:t>
      </w:r>
      <w:r>
        <w:rPr>
          <w:rFonts w:hint="eastAsia" w:asciiTheme="majorEastAsia" w:hAnsiTheme="majorEastAsia" w:eastAsiaTheme="majorEastAsia"/>
          <w:szCs w:val="21"/>
        </w:rPr>
        <w:t>根据《深圳市财政局关于明确政府采购保证金管理工作的通知》（深财购[2019]42号）的要求，供应商在政府采购活动中出现《深圳经济特区政府采购条例实施细则》第八十四条所列情形的，</w:t>
      </w:r>
      <w:bookmarkStart w:id="79" w:name="_Hlk72440769"/>
      <w:r>
        <w:rPr>
          <w:rFonts w:hint="eastAsia" w:asciiTheme="majorEastAsia" w:hAnsiTheme="majorEastAsia" w:eastAsiaTheme="majorEastAsia"/>
          <w:szCs w:val="21"/>
        </w:rPr>
        <w:t>采购人或采购代理机构</w:t>
      </w:r>
      <w:bookmarkEnd w:id="79"/>
      <w:r>
        <w:rPr>
          <w:rFonts w:hint="eastAsia" w:asciiTheme="majorEastAsia" w:hAnsiTheme="majorEastAsia" w:eastAsiaTheme="majorEastAsia"/>
          <w:szCs w:val="21"/>
        </w:rPr>
        <w:t>可将有关情况报同级财政部门，由财政部门根据实际情况记入供应商诚信档案，予以通报：</w:t>
      </w:r>
    </w:p>
    <w:p w14:paraId="738308D2">
      <w:pPr>
        <w:spacing w:line="360" w:lineRule="auto"/>
        <w:ind w:firstLine="411" w:firstLineChars="196"/>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）投标截止后，撤销投标的；</w:t>
      </w:r>
    </w:p>
    <w:p w14:paraId="67057DE4">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2</w:t>
      </w:r>
      <w:r>
        <w:rPr>
          <w:rFonts w:asciiTheme="majorEastAsia" w:hAnsiTheme="majorEastAsia" w:eastAsiaTheme="majorEastAsia"/>
          <w:szCs w:val="21"/>
        </w:rPr>
        <w:t>）中标后无正当理由未在规定期限内签订合同的；</w:t>
      </w:r>
    </w:p>
    <w:p w14:paraId="33AD450E">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3</w:t>
      </w:r>
      <w:r>
        <w:rPr>
          <w:rFonts w:asciiTheme="majorEastAsia" w:hAnsiTheme="majorEastAsia" w:eastAsiaTheme="majorEastAsia"/>
          <w:szCs w:val="21"/>
        </w:rPr>
        <w:t>）将中标项目转让给他人、或者在投标文件中未说明且未经采购人、采购招标机构同意，将中标项目分包给他人的；</w:t>
      </w:r>
    </w:p>
    <w:p w14:paraId="5A27B2CF">
      <w:pPr>
        <w:spacing w:line="360" w:lineRule="auto"/>
        <w:ind w:firstLine="411" w:firstLineChars="196"/>
        <w:rPr>
          <w:rFonts w:asciiTheme="majorEastAsia" w:hAnsiTheme="majorEastAsia" w:eastAsiaTheme="majorEastAsia"/>
          <w:szCs w:val="21"/>
        </w:rPr>
      </w:pPr>
      <w:r>
        <w:rPr>
          <w:rFonts w:asciiTheme="majorEastAsia" w:hAnsiTheme="majorEastAsia" w:eastAsiaTheme="majorEastAsia"/>
          <w:szCs w:val="21"/>
        </w:rPr>
        <w:t>（</w:t>
      </w:r>
      <w:r>
        <w:rPr>
          <w:rFonts w:hint="eastAsia" w:asciiTheme="majorEastAsia" w:hAnsiTheme="majorEastAsia" w:eastAsiaTheme="majorEastAsia"/>
          <w:szCs w:val="21"/>
        </w:rPr>
        <w:t>4</w:t>
      </w:r>
      <w:r>
        <w:rPr>
          <w:rFonts w:asciiTheme="majorEastAsia" w:hAnsiTheme="majorEastAsia" w:eastAsiaTheme="majorEastAsia"/>
          <w:szCs w:val="21"/>
        </w:rPr>
        <w:t>）拒绝履行合同义务的</w:t>
      </w:r>
      <w:r>
        <w:rPr>
          <w:rFonts w:hint="eastAsia" w:asciiTheme="majorEastAsia" w:hAnsiTheme="majorEastAsia" w:eastAsiaTheme="majorEastAsia"/>
          <w:szCs w:val="21"/>
        </w:rPr>
        <w:t>。</w:t>
      </w:r>
    </w:p>
    <w:bookmarkEnd w:id="63"/>
    <w:p w14:paraId="6C2818F2">
      <w:pPr>
        <w:keepNext/>
        <w:keepLines/>
        <w:widowControl/>
        <w:numPr>
          <w:ilvl w:val="0"/>
          <w:numId w:val="1"/>
        </w:numPr>
        <w:adjustRightInd w:val="0"/>
        <w:spacing w:beforeLines="50" w:afterLines="50" w:line="360" w:lineRule="auto"/>
        <w:ind w:left="562" w:hanging="562"/>
        <w:jc w:val="center"/>
        <w:textAlignment w:val="baseline"/>
        <w:outlineLvl w:val="1"/>
        <w:rPr>
          <w:rFonts w:asciiTheme="majorEastAsia" w:hAnsiTheme="majorEastAsia" w:eastAsiaTheme="majorEastAsia"/>
          <w:b/>
          <w:bCs/>
          <w:kern w:val="0"/>
          <w:sz w:val="28"/>
          <w:szCs w:val="28"/>
        </w:rPr>
      </w:pPr>
      <w:r>
        <w:rPr>
          <w:rFonts w:hint="eastAsia" w:asciiTheme="majorEastAsia" w:hAnsiTheme="majorEastAsia" w:eastAsiaTheme="majorEastAsia"/>
          <w:b/>
          <w:bCs/>
          <w:kern w:val="0"/>
          <w:sz w:val="28"/>
          <w:szCs w:val="28"/>
        </w:rPr>
        <w:t>质疑处理</w:t>
      </w:r>
    </w:p>
    <w:p w14:paraId="6ED6547F">
      <w:pPr>
        <w:spacing w:line="360" w:lineRule="auto"/>
        <w:rPr>
          <w:rFonts w:asciiTheme="majorEastAsia" w:hAnsiTheme="majorEastAsia" w:eastAsiaTheme="majorEastAsia"/>
          <w:b/>
          <w:bCs/>
          <w:szCs w:val="21"/>
        </w:rPr>
      </w:pPr>
      <w:bookmarkStart w:id="80" w:name="_Hlk72439706"/>
      <w:r>
        <w:rPr>
          <w:rFonts w:hint="eastAsia" w:asciiTheme="majorEastAsia" w:hAnsiTheme="majorEastAsia" w:eastAsiaTheme="majorEastAsia"/>
          <w:b/>
          <w:bCs/>
          <w:szCs w:val="21"/>
        </w:rPr>
        <w:t>52.质疑提出与答复</w:t>
      </w:r>
    </w:p>
    <w:p w14:paraId="23EDB0A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52.1提出质疑</w:t>
      </w:r>
    </w:p>
    <w:p w14:paraId="5EA7F73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7325266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52.2</w:t>
      </w:r>
      <w:r>
        <w:rPr>
          <w:rFonts w:asciiTheme="majorEastAsia" w:hAnsiTheme="majorEastAsia" w:eastAsiaTheme="majorEastAsia"/>
          <w:szCs w:val="21"/>
        </w:rPr>
        <w:t>法律依据</w:t>
      </w:r>
    </w:p>
    <w:p w14:paraId="6975576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66F96A0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52.3质疑条件</w:t>
      </w:r>
    </w:p>
    <w:p w14:paraId="13567D1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52.3.1提出质疑的供应商应当是参与所质疑项目采购活动的供应商；</w:t>
      </w:r>
      <w:bookmarkStart w:id="81" w:name="_Hlk75374941"/>
      <w:r>
        <w:rPr>
          <w:rFonts w:hint="eastAsia" w:asciiTheme="majorEastAsia" w:hAnsiTheme="majorEastAsia" w:eastAsiaTheme="majorEastAsia"/>
          <w:szCs w:val="21"/>
        </w:rPr>
        <w:t>以联合体形式参与的，质疑应当由组成联合体的所有成员共同提出</w:t>
      </w:r>
      <w:bookmarkEnd w:id="81"/>
      <w:r>
        <w:rPr>
          <w:rFonts w:hint="eastAsia" w:asciiTheme="majorEastAsia" w:hAnsiTheme="majorEastAsia" w:eastAsiaTheme="majorEastAsia"/>
          <w:szCs w:val="21"/>
        </w:rPr>
        <w:t>；</w:t>
      </w:r>
    </w:p>
    <w:p w14:paraId="247EF8E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C013D59">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52.3.3应提交书面质疑函，质疑函应当包括以下内容：</w:t>
      </w:r>
    </w:p>
    <w:p w14:paraId="73EEC25B">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（1）供应商的名称（或者姓名）、地址、邮编、邮箱、联系人及联系电话；</w:t>
      </w:r>
    </w:p>
    <w:p w14:paraId="7EA9C98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96E8E1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4ACF2E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6C8BB53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A95592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EF6537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EA6D1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0FBA7B4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52.4提交</w:t>
      </w:r>
      <w:r>
        <w:rPr>
          <w:rFonts w:asciiTheme="majorEastAsia" w:hAnsiTheme="majorEastAsia" w:eastAsiaTheme="majorEastAsia"/>
          <w:szCs w:val="21"/>
        </w:rPr>
        <w:t>材料</w:t>
      </w:r>
    </w:p>
    <w:p w14:paraId="7C3AB03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1283F7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B6386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52.5提交方式</w:t>
      </w:r>
    </w:p>
    <w:p w14:paraId="5B562D15">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2.5.1</w:t>
      </w:r>
      <w:r>
        <w:rPr>
          <w:rFonts w:hint="eastAsia" w:asciiTheme="majorEastAsia" w:hAnsiTheme="majorEastAsia" w:eastAsiaTheme="majorEastAsia"/>
          <w:szCs w:val="21"/>
        </w:rPr>
        <w:t>供应商登录“深圳政府采购智慧平台用户网上办事子系统（http://zfcg.szggzy.com/TPBidder/memberLogin）”，在“【我的项目】→【项目流程】→【质疑】”中提出质疑。</w:t>
      </w:r>
    </w:p>
    <w:p w14:paraId="72574F5B">
      <w:pPr>
        <w:spacing w:line="360" w:lineRule="auto"/>
        <w:ind w:firstLine="420" w:firstLineChars="200"/>
        <w:rPr>
          <w:rFonts w:asciiTheme="majorEastAsia" w:hAnsiTheme="majorEastAsia" w:eastAsiaTheme="majorEastAsia"/>
          <w:b/>
          <w:bCs/>
          <w:szCs w:val="21"/>
        </w:rPr>
      </w:pPr>
      <w:r>
        <w:rPr>
          <w:rFonts w:hint="eastAsia" w:asciiTheme="majorEastAsia" w:hAnsiTheme="majorEastAsia" w:eastAsiaTheme="majorEastAsia"/>
          <w:szCs w:val="21"/>
        </w:rPr>
        <w:t>5</w:t>
      </w:r>
      <w:r>
        <w:rPr>
          <w:rFonts w:asciiTheme="majorEastAsia" w:hAnsiTheme="majorEastAsia" w:eastAsiaTheme="majorEastAsia"/>
          <w:szCs w:val="21"/>
        </w:rPr>
        <w:t>2.5.2</w:t>
      </w:r>
      <w:r>
        <w:rPr>
          <w:rFonts w:hint="eastAsia" w:asciiTheme="majorEastAsia" w:hAnsiTheme="majorEastAsia" w:eastAsiaTheme="majorEastAsia"/>
          <w:szCs w:val="21"/>
        </w:rPr>
        <w:t>同时，请质疑供应商根据深圳政府采购智慧平台（http://zfcg.szggzy.com/）所发布的质疑指引、质疑函模板填写质疑函并提交质疑材料。</w:t>
      </w:r>
      <w:r>
        <w:rPr>
          <w:rFonts w:hint="eastAsia" w:asciiTheme="majorEastAsia" w:hAnsiTheme="majorEastAsia" w:eastAsiaTheme="majorEastAsia"/>
          <w:bCs/>
          <w:szCs w:val="21"/>
        </w:rPr>
        <w:t>地址：深圳市中正招标有限公司（深圳市福田区民田路171号新华保险大厦903），质疑咨询电话：0755-83026699。</w:t>
      </w:r>
    </w:p>
    <w:p w14:paraId="7682383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52.6收文办理</w:t>
      </w:r>
      <w:r>
        <w:rPr>
          <w:rFonts w:asciiTheme="majorEastAsia" w:hAnsiTheme="majorEastAsia" w:eastAsiaTheme="majorEastAsia"/>
          <w:szCs w:val="21"/>
        </w:rPr>
        <w:t>程序</w:t>
      </w:r>
    </w:p>
    <w:p w14:paraId="48A81AF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0FD6776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52.6.2供应商提交的质疑材料不符合质疑条件的，视情况处理：</w:t>
      </w:r>
    </w:p>
    <w:p w14:paraId="346AEF4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1D2D2AD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42946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6FBD7E8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5BECD44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390721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3B14097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7894837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3D597A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52.7质疑答复时限</w:t>
      </w:r>
    </w:p>
    <w:p w14:paraId="695EF9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02AC351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52.8投诉</w:t>
      </w:r>
    </w:p>
    <w:p w14:paraId="2D21F9B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80"/>
    </w:p>
    <w:p w14:paraId="04100A33">
      <w:pPr>
        <w:widowControl/>
        <w:jc w:val="left"/>
        <w:rPr>
          <w:rFonts w:ascii="宋体" w:hAnsi="宋体"/>
          <w:b/>
          <w:bCs/>
          <w:kern w:val="0"/>
          <w:sz w:val="24"/>
          <w:szCs w:val="20"/>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38497"/>
    </w:sdtPr>
    <w:sdtContent>
      <w:p w14:paraId="744C42B3">
        <w:pPr>
          <w:pStyle w:val="27"/>
          <w:jc w:val="center"/>
        </w:pPr>
        <w:r>
          <w:fldChar w:fldCharType="begin"/>
        </w:r>
        <w:r>
          <w:instrText xml:space="preserve"> PAGE   \* MERGEFORMAT </w:instrText>
        </w:r>
        <w:r>
          <w:fldChar w:fldCharType="separate"/>
        </w:r>
        <w:r>
          <w:rPr>
            <w:lang w:val="zh-CN"/>
          </w:rPr>
          <w:t>32</w:t>
        </w:r>
        <w:r>
          <w:rPr>
            <w:lang w:val="zh-CN"/>
          </w:rPr>
          <w:fldChar w:fldCharType="end"/>
        </w:r>
      </w:p>
    </w:sdtContent>
  </w:sdt>
  <w:p w14:paraId="4AADD906">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2YmRlNDU3NGEzNjI1NDQyMDllNWVlNzk1MzhhMzIifQ=="/>
  </w:docVars>
  <w:rsids>
    <w:rsidRoot w:val="00103A86"/>
    <w:rsid w:val="00000F5F"/>
    <w:rsid w:val="00001526"/>
    <w:rsid w:val="00002B3E"/>
    <w:rsid w:val="000051FB"/>
    <w:rsid w:val="00010CD3"/>
    <w:rsid w:val="00010EAF"/>
    <w:rsid w:val="00013C6F"/>
    <w:rsid w:val="00013F11"/>
    <w:rsid w:val="00017B27"/>
    <w:rsid w:val="00017EF4"/>
    <w:rsid w:val="00020580"/>
    <w:rsid w:val="000210AC"/>
    <w:rsid w:val="000212B9"/>
    <w:rsid w:val="00026D62"/>
    <w:rsid w:val="0002760A"/>
    <w:rsid w:val="00031553"/>
    <w:rsid w:val="00033434"/>
    <w:rsid w:val="00035488"/>
    <w:rsid w:val="00041BD3"/>
    <w:rsid w:val="00043C69"/>
    <w:rsid w:val="00045D06"/>
    <w:rsid w:val="00047456"/>
    <w:rsid w:val="0005288D"/>
    <w:rsid w:val="00052AA5"/>
    <w:rsid w:val="00053282"/>
    <w:rsid w:val="00053E42"/>
    <w:rsid w:val="00054E39"/>
    <w:rsid w:val="00055F35"/>
    <w:rsid w:val="00056152"/>
    <w:rsid w:val="00057148"/>
    <w:rsid w:val="00072314"/>
    <w:rsid w:val="00072877"/>
    <w:rsid w:val="00076F21"/>
    <w:rsid w:val="00081E93"/>
    <w:rsid w:val="00084FFC"/>
    <w:rsid w:val="000878B9"/>
    <w:rsid w:val="00091185"/>
    <w:rsid w:val="00093911"/>
    <w:rsid w:val="00094626"/>
    <w:rsid w:val="0009519F"/>
    <w:rsid w:val="00097123"/>
    <w:rsid w:val="000A0AE2"/>
    <w:rsid w:val="000A1CCC"/>
    <w:rsid w:val="000A2349"/>
    <w:rsid w:val="000A2EEF"/>
    <w:rsid w:val="000B1F98"/>
    <w:rsid w:val="000B3600"/>
    <w:rsid w:val="000B4026"/>
    <w:rsid w:val="000B4402"/>
    <w:rsid w:val="000B4536"/>
    <w:rsid w:val="000B5D6F"/>
    <w:rsid w:val="000B7AEC"/>
    <w:rsid w:val="000B7D39"/>
    <w:rsid w:val="000C1237"/>
    <w:rsid w:val="000C2DF7"/>
    <w:rsid w:val="000C3C3C"/>
    <w:rsid w:val="000C6F22"/>
    <w:rsid w:val="000D1E66"/>
    <w:rsid w:val="000D2659"/>
    <w:rsid w:val="000D2792"/>
    <w:rsid w:val="000D3A8C"/>
    <w:rsid w:val="000D63EA"/>
    <w:rsid w:val="000D7062"/>
    <w:rsid w:val="000D7BB3"/>
    <w:rsid w:val="000E0B80"/>
    <w:rsid w:val="000E0FC1"/>
    <w:rsid w:val="000E1A4A"/>
    <w:rsid w:val="000F345B"/>
    <w:rsid w:val="000F37FF"/>
    <w:rsid w:val="000F3E6E"/>
    <w:rsid w:val="000F4129"/>
    <w:rsid w:val="000F5B06"/>
    <w:rsid w:val="000F5ECB"/>
    <w:rsid w:val="000F6BC0"/>
    <w:rsid w:val="000F74E0"/>
    <w:rsid w:val="000F7A75"/>
    <w:rsid w:val="000F7F8C"/>
    <w:rsid w:val="00100E4E"/>
    <w:rsid w:val="00101F69"/>
    <w:rsid w:val="00101F8B"/>
    <w:rsid w:val="00103A86"/>
    <w:rsid w:val="00105734"/>
    <w:rsid w:val="001069FB"/>
    <w:rsid w:val="00112114"/>
    <w:rsid w:val="001207E9"/>
    <w:rsid w:val="00123879"/>
    <w:rsid w:val="00123D47"/>
    <w:rsid w:val="00124153"/>
    <w:rsid w:val="00127F85"/>
    <w:rsid w:val="00132093"/>
    <w:rsid w:val="00135F8D"/>
    <w:rsid w:val="00136086"/>
    <w:rsid w:val="0013643E"/>
    <w:rsid w:val="00136A99"/>
    <w:rsid w:val="0013763C"/>
    <w:rsid w:val="0014134B"/>
    <w:rsid w:val="001429E4"/>
    <w:rsid w:val="001434C4"/>
    <w:rsid w:val="00144AF1"/>
    <w:rsid w:val="00144C0F"/>
    <w:rsid w:val="00146B6B"/>
    <w:rsid w:val="00154E01"/>
    <w:rsid w:val="0016001B"/>
    <w:rsid w:val="00161B46"/>
    <w:rsid w:val="00162A02"/>
    <w:rsid w:val="0016401E"/>
    <w:rsid w:val="00164645"/>
    <w:rsid w:val="00165097"/>
    <w:rsid w:val="001663AA"/>
    <w:rsid w:val="00166DC3"/>
    <w:rsid w:val="00172186"/>
    <w:rsid w:val="00173FA7"/>
    <w:rsid w:val="00176757"/>
    <w:rsid w:val="001774EA"/>
    <w:rsid w:val="001779CB"/>
    <w:rsid w:val="00177D78"/>
    <w:rsid w:val="001829DD"/>
    <w:rsid w:val="00182C14"/>
    <w:rsid w:val="00182F93"/>
    <w:rsid w:val="00183E48"/>
    <w:rsid w:val="0018445D"/>
    <w:rsid w:val="00186C13"/>
    <w:rsid w:val="0019098F"/>
    <w:rsid w:val="00190E39"/>
    <w:rsid w:val="00192FA2"/>
    <w:rsid w:val="00195091"/>
    <w:rsid w:val="001A4688"/>
    <w:rsid w:val="001A6235"/>
    <w:rsid w:val="001A7B97"/>
    <w:rsid w:val="001A7E9F"/>
    <w:rsid w:val="001B0736"/>
    <w:rsid w:val="001B182A"/>
    <w:rsid w:val="001B23DF"/>
    <w:rsid w:val="001B3E1A"/>
    <w:rsid w:val="001B78B8"/>
    <w:rsid w:val="001B792B"/>
    <w:rsid w:val="001C2A95"/>
    <w:rsid w:val="001C3BC1"/>
    <w:rsid w:val="001D297A"/>
    <w:rsid w:val="001D532C"/>
    <w:rsid w:val="001E021F"/>
    <w:rsid w:val="001E5166"/>
    <w:rsid w:val="001E63A6"/>
    <w:rsid w:val="001E670C"/>
    <w:rsid w:val="001E7EC4"/>
    <w:rsid w:val="001F2756"/>
    <w:rsid w:val="001F5DBD"/>
    <w:rsid w:val="001F646F"/>
    <w:rsid w:val="001F7F91"/>
    <w:rsid w:val="00200342"/>
    <w:rsid w:val="00201237"/>
    <w:rsid w:val="00202335"/>
    <w:rsid w:val="00202D92"/>
    <w:rsid w:val="002034C2"/>
    <w:rsid w:val="00203AC5"/>
    <w:rsid w:val="00206F1A"/>
    <w:rsid w:val="002074CD"/>
    <w:rsid w:val="002108E8"/>
    <w:rsid w:val="002135F8"/>
    <w:rsid w:val="00217A36"/>
    <w:rsid w:val="00217B3F"/>
    <w:rsid w:val="00220C5E"/>
    <w:rsid w:val="00222612"/>
    <w:rsid w:val="002300CF"/>
    <w:rsid w:val="00231DCF"/>
    <w:rsid w:val="00231E94"/>
    <w:rsid w:val="00231FB6"/>
    <w:rsid w:val="00234A66"/>
    <w:rsid w:val="002354A2"/>
    <w:rsid w:val="002418AD"/>
    <w:rsid w:val="00241C2F"/>
    <w:rsid w:val="00243E8A"/>
    <w:rsid w:val="0024433A"/>
    <w:rsid w:val="002452F6"/>
    <w:rsid w:val="002477F6"/>
    <w:rsid w:val="00247934"/>
    <w:rsid w:val="00252837"/>
    <w:rsid w:val="002531A5"/>
    <w:rsid w:val="00254756"/>
    <w:rsid w:val="002606E7"/>
    <w:rsid w:val="00260C60"/>
    <w:rsid w:val="002629C0"/>
    <w:rsid w:val="002652B4"/>
    <w:rsid w:val="00265F79"/>
    <w:rsid w:val="00267FC8"/>
    <w:rsid w:val="00270871"/>
    <w:rsid w:val="0027121B"/>
    <w:rsid w:val="0027312A"/>
    <w:rsid w:val="00273D6B"/>
    <w:rsid w:val="002753A8"/>
    <w:rsid w:val="0028241E"/>
    <w:rsid w:val="002867E0"/>
    <w:rsid w:val="00287E9E"/>
    <w:rsid w:val="00287F91"/>
    <w:rsid w:val="0029138D"/>
    <w:rsid w:val="00291B1B"/>
    <w:rsid w:val="00291D1C"/>
    <w:rsid w:val="00292956"/>
    <w:rsid w:val="002934B9"/>
    <w:rsid w:val="00293AB2"/>
    <w:rsid w:val="00294F5F"/>
    <w:rsid w:val="002952BC"/>
    <w:rsid w:val="0029679A"/>
    <w:rsid w:val="002968EA"/>
    <w:rsid w:val="002A19D6"/>
    <w:rsid w:val="002A1C9A"/>
    <w:rsid w:val="002A6A8D"/>
    <w:rsid w:val="002A73B4"/>
    <w:rsid w:val="002A7F40"/>
    <w:rsid w:val="002B1E2D"/>
    <w:rsid w:val="002B4848"/>
    <w:rsid w:val="002B73FC"/>
    <w:rsid w:val="002B763E"/>
    <w:rsid w:val="002C2B90"/>
    <w:rsid w:val="002C317D"/>
    <w:rsid w:val="002C3CEF"/>
    <w:rsid w:val="002C76FC"/>
    <w:rsid w:val="002D0555"/>
    <w:rsid w:val="002D175A"/>
    <w:rsid w:val="002D34A5"/>
    <w:rsid w:val="002D35C6"/>
    <w:rsid w:val="002D3FE3"/>
    <w:rsid w:val="002D5B4D"/>
    <w:rsid w:val="002D5F35"/>
    <w:rsid w:val="002E0E9F"/>
    <w:rsid w:val="002E2CA0"/>
    <w:rsid w:val="002E2D89"/>
    <w:rsid w:val="002E3119"/>
    <w:rsid w:val="002E424C"/>
    <w:rsid w:val="002E665D"/>
    <w:rsid w:val="002E6858"/>
    <w:rsid w:val="002E6BA0"/>
    <w:rsid w:val="002E737B"/>
    <w:rsid w:val="002F01F4"/>
    <w:rsid w:val="002F4F2E"/>
    <w:rsid w:val="002F6879"/>
    <w:rsid w:val="002F7C97"/>
    <w:rsid w:val="003006BF"/>
    <w:rsid w:val="003008B6"/>
    <w:rsid w:val="00300B8A"/>
    <w:rsid w:val="0030199B"/>
    <w:rsid w:val="00304669"/>
    <w:rsid w:val="003134D0"/>
    <w:rsid w:val="0031455C"/>
    <w:rsid w:val="00315CA6"/>
    <w:rsid w:val="0031688D"/>
    <w:rsid w:val="0032060F"/>
    <w:rsid w:val="0032136F"/>
    <w:rsid w:val="0032158E"/>
    <w:rsid w:val="00321C26"/>
    <w:rsid w:val="00321D49"/>
    <w:rsid w:val="00323BF8"/>
    <w:rsid w:val="003274C9"/>
    <w:rsid w:val="00334DFC"/>
    <w:rsid w:val="00335B69"/>
    <w:rsid w:val="00335E1F"/>
    <w:rsid w:val="00340269"/>
    <w:rsid w:val="00341462"/>
    <w:rsid w:val="00343947"/>
    <w:rsid w:val="00343D25"/>
    <w:rsid w:val="0034602D"/>
    <w:rsid w:val="0034731C"/>
    <w:rsid w:val="00350D9C"/>
    <w:rsid w:val="00352073"/>
    <w:rsid w:val="003520D2"/>
    <w:rsid w:val="00353324"/>
    <w:rsid w:val="0035334F"/>
    <w:rsid w:val="00353C2B"/>
    <w:rsid w:val="003541EA"/>
    <w:rsid w:val="00355255"/>
    <w:rsid w:val="0035786E"/>
    <w:rsid w:val="003604E6"/>
    <w:rsid w:val="00362824"/>
    <w:rsid w:val="00364E19"/>
    <w:rsid w:val="0036526C"/>
    <w:rsid w:val="00366D19"/>
    <w:rsid w:val="00366E70"/>
    <w:rsid w:val="00381E45"/>
    <w:rsid w:val="00383F0B"/>
    <w:rsid w:val="00385398"/>
    <w:rsid w:val="003861CD"/>
    <w:rsid w:val="00386BE2"/>
    <w:rsid w:val="003909B8"/>
    <w:rsid w:val="00391C88"/>
    <w:rsid w:val="00395A00"/>
    <w:rsid w:val="0039674E"/>
    <w:rsid w:val="003A2F53"/>
    <w:rsid w:val="003A61C9"/>
    <w:rsid w:val="003A7BDB"/>
    <w:rsid w:val="003B1518"/>
    <w:rsid w:val="003B477B"/>
    <w:rsid w:val="003B5360"/>
    <w:rsid w:val="003C1A26"/>
    <w:rsid w:val="003C2295"/>
    <w:rsid w:val="003C3E40"/>
    <w:rsid w:val="003C5B3E"/>
    <w:rsid w:val="003D1B12"/>
    <w:rsid w:val="003D2340"/>
    <w:rsid w:val="003D23B8"/>
    <w:rsid w:val="003D2828"/>
    <w:rsid w:val="003D2EFA"/>
    <w:rsid w:val="003D3346"/>
    <w:rsid w:val="003D408D"/>
    <w:rsid w:val="003D6CD3"/>
    <w:rsid w:val="003E3B27"/>
    <w:rsid w:val="003E51D5"/>
    <w:rsid w:val="003E77F1"/>
    <w:rsid w:val="003E7AB6"/>
    <w:rsid w:val="003F1407"/>
    <w:rsid w:val="003F41FE"/>
    <w:rsid w:val="003F5834"/>
    <w:rsid w:val="003F5E4A"/>
    <w:rsid w:val="003F7201"/>
    <w:rsid w:val="003F7FB5"/>
    <w:rsid w:val="00401E20"/>
    <w:rsid w:val="0040345C"/>
    <w:rsid w:val="00406FB6"/>
    <w:rsid w:val="0041065D"/>
    <w:rsid w:val="004107D9"/>
    <w:rsid w:val="00411AFE"/>
    <w:rsid w:val="00412446"/>
    <w:rsid w:val="00415BBF"/>
    <w:rsid w:val="00415C66"/>
    <w:rsid w:val="00415D20"/>
    <w:rsid w:val="00416664"/>
    <w:rsid w:val="00422275"/>
    <w:rsid w:val="004235A4"/>
    <w:rsid w:val="004268C7"/>
    <w:rsid w:val="00436747"/>
    <w:rsid w:val="00436823"/>
    <w:rsid w:val="00436D0E"/>
    <w:rsid w:val="0043714D"/>
    <w:rsid w:val="0044288C"/>
    <w:rsid w:val="0044387F"/>
    <w:rsid w:val="00444F45"/>
    <w:rsid w:val="00452496"/>
    <w:rsid w:val="00457241"/>
    <w:rsid w:val="00457969"/>
    <w:rsid w:val="00470214"/>
    <w:rsid w:val="004702A4"/>
    <w:rsid w:val="00470AC3"/>
    <w:rsid w:val="00470DDE"/>
    <w:rsid w:val="00473BFB"/>
    <w:rsid w:val="00476ABF"/>
    <w:rsid w:val="00481615"/>
    <w:rsid w:val="0048258B"/>
    <w:rsid w:val="004836AC"/>
    <w:rsid w:val="00484215"/>
    <w:rsid w:val="00484D26"/>
    <w:rsid w:val="00484DBE"/>
    <w:rsid w:val="004858C0"/>
    <w:rsid w:val="004861CC"/>
    <w:rsid w:val="004867C3"/>
    <w:rsid w:val="00490CC8"/>
    <w:rsid w:val="0049604C"/>
    <w:rsid w:val="00496A0A"/>
    <w:rsid w:val="004972E7"/>
    <w:rsid w:val="004A2765"/>
    <w:rsid w:val="004A4F5D"/>
    <w:rsid w:val="004A5C8C"/>
    <w:rsid w:val="004A60AC"/>
    <w:rsid w:val="004A667C"/>
    <w:rsid w:val="004A6E9C"/>
    <w:rsid w:val="004B3843"/>
    <w:rsid w:val="004B3A3A"/>
    <w:rsid w:val="004B60AE"/>
    <w:rsid w:val="004B6178"/>
    <w:rsid w:val="004B757E"/>
    <w:rsid w:val="004B7C51"/>
    <w:rsid w:val="004C1ACC"/>
    <w:rsid w:val="004C31CC"/>
    <w:rsid w:val="004C40D7"/>
    <w:rsid w:val="004C5625"/>
    <w:rsid w:val="004C5ED6"/>
    <w:rsid w:val="004D02D0"/>
    <w:rsid w:val="004D04CE"/>
    <w:rsid w:val="004D08F6"/>
    <w:rsid w:val="004D536D"/>
    <w:rsid w:val="004D5953"/>
    <w:rsid w:val="004E0C6E"/>
    <w:rsid w:val="004E3678"/>
    <w:rsid w:val="004E39F1"/>
    <w:rsid w:val="004E48A7"/>
    <w:rsid w:val="004F18FA"/>
    <w:rsid w:val="004F3B85"/>
    <w:rsid w:val="004F5425"/>
    <w:rsid w:val="004F5B29"/>
    <w:rsid w:val="004F7FD4"/>
    <w:rsid w:val="00502B0E"/>
    <w:rsid w:val="00502F84"/>
    <w:rsid w:val="00505EE2"/>
    <w:rsid w:val="00507DFF"/>
    <w:rsid w:val="0051248B"/>
    <w:rsid w:val="005168DE"/>
    <w:rsid w:val="00521293"/>
    <w:rsid w:val="00523ABC"/>
    <w:rsid w:val="00523BC1"/>
    <w:rsid w:val="005244EE"/>
    <w:rsid w:val="00524C0B"/>
    <w:rsid w:val="005275BC"/>
    <w:rsid w:val="005276AA"/>
    <w:rsid w:val="00530F6C"/>
    <w:rsid w:val="00531FE5"/>
    <w:rsid w:val="00532F7C"/>
    <w:rsid w:val="00535553"/>
    <w:rsid w:val="0053625D"/>
    <w:rsid w:val="0053628E"/>
    <w:rsid w:val="00536989"/>
    <w:rsid w:val="00537D2D"/>
    <w:rsid w:val="00540E25"/>
    <w:rsid w:val="00541552"/>
    <w:rsid w:val="00545707"/>
    <w:rsid w:val="005473DF"/>
    <w:rsid w:val="00547E43"/>
    <w:rsid w:val="0055051A"/>
    <w:rsid w:val="00550D1C"/>
    <w:rsid w:val="005567C6"/>
    <w:rsid w:val="00556EB7"/>
    <w:rsid w:val="0055768A"/>
    <w:rsid w:val="00560F57"/>
    <w:rsid w:val="005620A7"/>
    <w:rsid w:val="005625D5"/>
    <w:rsid w:val="0056570D"/>
    <w:rsid w:val="00565ED8"/>
    <w:rsid w:val="00566BD4"/>
    <w:rsid w:val="00570797"/>
    <w:rsid w:val="00572443"/>
    <w:rsid w:val="0057724E"/>
    <w:rsid w:val="0058063A"/>
    <w:rsid w:val="005808E0"/>
    <w:rsid w:val="0058149B"/>
    <w:rsid w:val="0058192B"/>
    <w:rsid w:val="00581E11"/>
    <w:rsid w:val="00582367"/>
    <w:rsid w:val="00584A24"/>
    <w:rsid w:val="00585EC1"/>
    <w:rsid w:val="00586704"/>
    <w:rsid w:val="0059128B"/>
    <w:rsid w:val="005946C7"/>
    <w:rsid w:val="00595CFA"/>
    <w:rsid w:val="005A46D8"/>
    <w:rsid w:val="005A51D2"/>
    <w:rsid w:val="005A7BB6"/>
    <w:rsid w:val="005B62D6"/>
    <w:rsid w:val="005D3725"/>
    <w:rsid w:val="005D4FDB"/>
    <w:rsid w:val="005D6295"/>
    <w:rsid w:val="005D6659"/>
    <w:rsid w:val="005D7AF6"/>
    <w:rsid w:val="005E2FAA"/>
    <w:rsid w:val="005E3D64"/>
    <w:rsid w:val="005E45FD"/>
    <w:rsid w:val="005E5D0E"/>
    <w:rsid w:val="005E6167"/>
    <w:rsid w:val="005F1472"/>
    <w:rsid w:val="005F1B11"/>
    <w:rsid w:val="005F22E2"/>
    <w:rsid w:val="005F2EDA"/>
    <w:rsid w:val="005F318E"/>
    <w:rsid w:val="005F6695"/>
    <w:rsid w:val="006049A0"/>
    <w:rsid w:val="00606E3B"/>
    <w:rsid w:val="00607E8A"/>
    <w:rsid w:val="0061141D"/>
    <w:rsid w:val="006137C4"/>
    <w:rsid w:val="00615160"/>
    <w:rsid w:val="006154A6"/>
    <w:rsid w:val="00615993"/>
    <w:rsid w:val="00615BEC"/>
    <w:rsid w:val="00616062"/>
    <w:rsid w:val="00620A11"/>
    <w:rsid w:val="00624B9B"/>
    <w:rsid w:val="0062508B"/>
    <w:rsid w:val="00625CB7"/>
    <w:rsid w:val="00630B07"/>
    <w:rsid w:val="0063464A"/>
    <w:rsid w:val="00636B52"/>
    <w:rsid w:val="00641F0A"/>
    <w:rsid w:val="006421A8"/>
    <w:rsid w:val="00642BA7"/>
    <w:rsid w:val="00643C1D"/>
    <w:rsid w:val="00643E89"/>
    <w:rsid w:val="00645D4B"/>
    <w:rsid w:val="00646407"/>
    <w:rsid w:val="00651051"/>
    <w:rsid w:val="0065448C"/>
    <w:rsid w:val="0066244E"/>
    <w:rsid w:val="00665DD7"/>
    <w:rsid w:val="006662BB"/>
    <w:rsid w:val="00667476"/>
    <w:rsid w:val="00670CB9"/>
    <w:rsid w:val="006737C8"/>
    <w:rsid w:val="00675289"/>
    <w:rsid w:val="00675810"/>
    <w:rsid w:val="00677A79"/>
    <w:rsid w:val="00681216"/>
    <w:rsid w:val="006835C3"/>
    <w:rsid w:val="00685854"/>
    <w:rsid w:val="00685E9E"/>
    <w:rsid w:val="00686EE7"/>
    <w:rsid w:val="00687212"/>
    <w:rsid w:val="00690397"/>
    <w:rsid w:val="00692281"/>
    <w:rsid w:val="00693711"/>
    <w:rsid w:val="00694D5D"/>
    <w:rsid w:val="006951CF"/>
    <w:rsid w:val="006958C0"/>
    <w:rsid w:val="00696A4E"/>
    <w:rsid w:val="006971BC"/>
    <w:rsid w:val="006A0193"/>
    <w:rsid w:val="006A13AC"/>
    <w:rsid w:val="006A5182"/>
    <w:rsid w:val="006A5DC8"/>
    <w:rsid w:val="006A65A7"/>
    <w:rsid w:val="006A664E"/>
    <w:rsid w:val="006B098C"/>
    <w:rsid w:val="006B2978"/>
    <w:rsid w:val="006B311A"/>
    <w:rsid w:val="006B315C"/>
    <w:rsid w:val="006B3FF4"/>
    <w:rsid w:val="006C1B57"/>
    <w:rsid w:val="006C1F3B"/>
    <w:rsid w:val="006C2072"/>
    <w:rsid w:val="006C23B9"/>
    <w:rsid w:val="006C3731"/>
    <w:rsid w:val="006D0CCD"/>
    <w:rsid w:val="006D1972"/>
    <w:rsid w:val="006D1F18"/>
    <w:rsid w:val="006D25B3"/>
    <w:rsid w:val="006D4071"/>
    <w:rsid w:val="006D6578"/>
    <w:rsid w:val="006E168A"/>
    <w:rsid w:val="006E38C9"/>
    <w:rsid w:val="006E459D"/>
    <w:rsid w:val="006E5EAA"/>
    <w:rsid w:val="006E699A"/>
    <w:rsid w:val="006E74F5"/>
    <w:rsid w:val="006E78BD"/>
    <w:rsid w:val="006E791B"/>
    <w:rsid w:val="006F03E1"/>
    <w:rsid w:val="006F1766"/>
    <w:rsid w:val="006F6C4C"/>
    <w:rsid w:val="0070084E"/>
    <w:rsid w:val="0070351A"/>
    <w:rsid w:val="007103FD"/>
    <w:rsid w:val="00710F8C"/>
    <w:rsid w:val="00711729"/>
    <w:rsid w:val="00712A61"/>
    <w:rsid w:val="0071385C"/>
    <w:rsid w:val="007204DB"/>
    <w:rsid w:val="007207C9"/>
    <w:rsid w:val="0072168E"/>
    <w:rsid w:val="00722FBA"/>
    <w:rsid w:val="007241B3"/>
    <w:rsid w:val="007248F4"/>
    <w:rsid w:val="00724CB4"/>
    <w:rsid w:val="007263ED"/>
    <w:rsid w:val="00726A25"/>
    <w:rsid w:val="00727DFE"/>
    <w:rsid w:val="0073340D"/>
    <w:rsid w:val="007338AF"/>
    <w:rsid w:val="00737FB5"/>
    <w:rsid w:val="007403FC"/>
    <w:rsid w:val="00742F00"/>
    <w:rsid w:val="00750911"/>
    <w:rsid w:val="00751F91"/>
    <w:rsid w:val="00757318"/>
    <w:rsid w:val="00760BD7"/>
    <w:rsid w:val="007613A2"/>
    <w:rsid w:val="00761C29"/>
    <w:rsid w:val="00763C5A"/>
    <w:rsid w:val="0076737B"/>
    <w:rsid w:val="00767F62"/>
    <w:rsid w:val="007722E5"/>
    <w:rsid w:val="00772474"/>
    <w:rsid w:val="0077351D"/>
    <w:rsid w:val="007746D6"/>
    <w:rsid w:val="00774778"/>
    <w:rsid w:val="0077772B"/>
    <w:rsid w:val="00777A80"/>
    <w:rsid w:val="00781154"/>
    <w:rsid w:val="00784499"/>
    <w:rsid w:val="00785645"/>
    <w:rsid w:val="0078577D"/>
    <w:rsid w:val="0078579D"/>
    <w:rsid w:val="007868DA"/>
    <w:rsid w:val="00787860"/>
    <w:rsid w:val="00792740"/>
    <w:rsid w:val="007957D3"/>
    <w:rsid w:val="00795CB4"/>
    <w:rsid w:val="007A2C8D"/>
    <w:rsid w:val="007A3488"/>
    <w:rsid w:val="007A46F2"/>
    <w:rsid w:val="007A511E"/>
    <w:rsid w:val="007A6441"/>
    <w:rsid w:val="007B0C04"/>
    <w:rsid w:val="007B16E8"/>
    <w:rsid w:val="007B1B17"/>
    <w:rsid w:val="007B2FB1"/>
    <w:rsid w:val="007B536E"/>
    <w:rsid w:val="007B57D9"/>
    <w:rsid w:val="007B6E38"/>
    <w:rsid w:val="007B7801"/>
    <w:rsid w:val="007C0B15"/>
    <w:rsid w:val="007C0FCA"/>
    <w:rsid w:val="007C2928"/>
    <w:rsid w:val="007C2C9B"/>
    <w:rsid w:val="007C4BFF"/>
    <w:rsid w:val="007C65F9"/>
    <w:rsid w:val="007C6CEB"/>
    <w:rsid w:val="007D1AB6"/>
    <w:rsid w:val="007D3423"/>
    <w:rsid w:val="007D35D5"/>
    <w:rsid w:val="007D5EFB"/>
    <w:rsid w:val="007E0D64"/>
    <w:rsid w:val="007E1313"/>
    <w:rsid w:val="007E3305"/>
    <w:rsid w:val="007E360C"/>
    <w:rsid w:val="007E41F2"/>
    <w:rsid w:val="007E45EA"/>
    <w:rsid w:val="007E4FA0"/>
    <w:rsid w:val="007E4FC3"/>
    <w:rsid w:val="007E6F50"/>
    <w:rsid w:val="007E79DF"/>
    <w:rsid w:val="007F3D14"/>
    <w:rsid w:val="007F46C5"/>
    <w:rsid w:val="007F6FC7"/>
    <w:rsid w:val="008031DA"/>
    <w:rsid w:val="00803DCC"/>
    <w:rsid w:val="00805099"/>
    <w:rsid w:val="00805780"/>
    <w:rsid w:val="00810F1A"/>
    <w:rsid w:val="00813E8D"/>
    <w:rsid w:val="00815984"/>
    <w:rsid w:val="00816D32"/>
    <w:rsid w:val="00817229"/>
    <w:rsid w:val="008201D8"/>
    <w:rsid w:val="00823940"/>
    <w:rsid w:val="00824CF8"/>
    <w:rsid w:val="00825A27"/>
    <w:rsid w:val="00826371"/>
    <w:rsid w:val="0083068F"/>
    <w:rsid w:val="00830D96"/>
    <w:rsid w:val="00835502"/>
    <w:rsid w:val="008401C6"/>
    <w:rsid w:val="00842565"/>
    <w:rsid w:val="00844024"/>
    <w:rsid w:val="0084498D"/>
    <w:rsid w:val="00850637"/>
    <w:rsid w:val="00852FDF"/>
    <w:rsid w:val="00853528"/>
    <w:rsid w:val="008554F3"/>
    <w:rsid w:val="0086173E"/>
    <w:rsid w:val="00861A6D"/>
    <w:rsid w:val="00864900"/>
    <w:rsid w:val="008650CC"/>
    <w:rsid w:val="00871284"/>
    <w:rsid w:val="00871A7E"/>
    <w:rsid w:val="00874608"/>
    <w:rsid w:val="008757E7"/>
    <w:rsid w:val="008758EA"/>
    <w:rsid w:val="0087603B"/>
    <w:rsid w:val="0087661F"/>
    <w:rsid w:val="00876C1D"/>
    <w:rsid w:val="008806FF"/>
    <w:rsid w:val="00880868"/>
    <w:rsid w:val="008852FB"/>
    <w:rsid w:val="00885781"/>
    <w:rsid w:val="008905B7"/>
    <w:rsid w:val="00894190"/>
    <w:rsid w:val="008952AD"/>
    <w:rsid w:val="008968CE"/>
    <w:rsid w:val="00896E4B"/>
    <w:rsid w:val="00897C06"/>
    <w:rsid w:val="008A18E2"/>
    <w:rsid w:val="008A245F"/>
    <w:rsid w:val="008A4CD7"/>
    <w:rsid w:val="008A6376"/>
    <w:rsid w:val="008A6815"/>
    <w:rsid w:val="008A6A96"/>
    <w:rsid w:val="008B0FE3"/>
    <w:rsid w:val="008B2A24"/>
    <w:rsid w:val="008B313A"/>
    <w:rsid w:val="008B412C"/>
    <w:rsid w:val="008B4C51"/>
    <w:rsid w:val="008B702D"/>
    <w:rsid w:val="008B7AC3"/>
    <w:rsid w:val="008C23F3"/>
    <w:rsid w:val="008C34E9"/>
    <w:rsid w:val="008C463B"/>
    <w:rsid w:val="008C6DFC"/>
    <w:rsid w:val="008C70E8"/>
    <w:rsid w:val="008C795C"/>
    <w:rsid w:val="008D03C4"/>
    <w:rsid w:val="008D2228"/>
    <w:rsid w:val="008D33E3"/>
    <w:rsid w:val="008D3709"/>
    <w:rsid w:val="008D59DB"/>
    <w:rsid w:val="008D5E13"/>
    <w:rsid w:val="008E461E"/>
    <w:rsid w:val="008E514D"/>
    <w:rsid w:val="008E5A20"/>
    <w:rsid w:val="008E5ABA"/>
    <w:rsid w:val="008E6C98"/>
    <w:rsid w:val="008E784D"/>
    <w:rsid w:val="008E7A67"/>
    <w:rsid w:val="008E7C1B"/>
    <w:rsid w:val="008F0E38"/>
    <w:rsid w:val="008F1CB5"/>
    <w:rsid w:val="008F26F6"/>
    <w:rsid w:val="008F4025"/>
    <w:rsid w:val="008F48EA"/>
    <w:rsid w:val="008F6908"/>
    <w:rsid w:val="00911492"/>
    <w:rsid w:val="00911682"/>
    <w:rsid w:val="00911DA3"/>
    <w:rsid w:val="009148F9"/>
    <w:rsid w:val="009154BF"/>
    <w:rsid w:val="009164A3"/>
    <w:rsid w:val="009164D4"/>
    <w:rsid w:val="00921D32"/>
    <w:rsid w:val="00924D9E"/>
    <w:rsid w:val="00927D9D"/>
    <w:rsid w:val="0093398E"/>
    <w:rsid w:val="0093468D"/>
    <w:rsid w:val="0093724D"/>
    <w:rsid w:val="00942B7F"/>
    <w:rsid w:val="00942D0C"/>
    <w:rsid w:val="00945B5C"/>
    <w:rsid w:val="00946FC2"/>
    <w:rsid w:val="00951232"/>
    <w:rsid w:val="00951278"/>
    <w:rsid w:val="0095651E"/>
    <w:rsid w:val="00956A14"/>
    <w:rsid w:val="00961CE9"/>
    <w:rsid w:val="0096217D"/>
    <w:rsid w:val="009625A5"/>
    <w:rsid w:val="0096260A"/>
    <w:rsid w:val="00962B14"/>
    <w:rsid w:val="009645EB"/>
    <w:rsid w:val="009646FC"/>
    <w:rsid w:val="00964F3E"/>
    <w:rsid w:val="00965D54"/>
    <w:rsid w:val="00970451"/>
    <w:rsid w:val="00971A14"/>
    <w:rsid w:val="00971B37"/>
    <w:rsid w:val="00974DB1"/>
    <w:rsid w:val="00975251"/>
    <w:rsid w:val="00975F55"/>
    <w:rsid w:val="0097677D"/>
    <w:rsid w:val="009767FD"/>
    <w:rsid w:val="00976FD1"/>
    <w:rsid w:val="009823CC"/>
    <w:rsid w:val="009824C2"/>
    <w:rsid w:val="009829EA"/>
    <w:rsid w:val="00984F4C"/>
    <w:rsid w:val="0098594E"/>
    <w:rsid w:val="009862D5"/>
    <w:rsid w:val="00987F57"/>
    <w:rsid w:val="00991492"/>
    <w:rsid w:val="00993BA7"/>
    <w:rsid w:val="00993F6B"/>
    <w:rsid w:val="00994092"/>
    <w:rsid w:val="009945C9"/>
    <w:rsid w:val="009A1A18"/>
    <w:rsid w:val="009A2405"/>
    <w:rsid w:val="009A4A1B"/>
    <w:rsid w:val="009A5506"/>
    <w:rsid w:val="009A575C"/>
    <w:rsid w:val="009A5C84"/>
    <w:rsid w:val="009A5DBB"/>
    <w:rsid w:val="009A7347"/>
    <w:rsid w:val="009B20DA"/>
    <w:rsid w:val="009B2C44"/>
    <w:rsid w:val="009B2E95"/>
    <w:rsid w:val="009B31DF"/>
    <w:rsid w:val="009B3BCB"/>
    <w:rsid w:val="009B3F58"/>
    <w:rsid w:val="009B44D9"/>
    <w:rsid w:val="009B6C5A"/>
    <w:rsid w:val="009B75D4"/>
    <w:rsid w:val="009B796A"/>
    <w:rsid w:val="009C47A8"/>
    <w:rsid w:val="009C5A01"/>
    <w:rsid w:val="009C6BEE"/>
    <w:rsid w:val="009D008F"/>
    <w:rsid w:val="009E1E90"/>
    <w:rsid w:val="009E4659"/>
    <w:rsid w:val="009E524D"/>
    <w:rsid w:val="009E5E7B"/>
    <w:rsid w:val="009F50AA"/>
    <w:rsid w:val="009F6192"/>
    <w:rsid w:val="009F61F2"/>
    <w:rsid w:val="00A046B8"/>
    <w:rsid w:val="00A06315"/>
    <w:rsid w:val="00A135C4"/>
    <w:rsid w:val="00A15F48"/>
    <w:rsid w:val="00A165CA"/>
    <w:rsid w:val="00A16CD2"/>
    <w:rsid w:val="00A179C9"/>
    <w:rsid w:val="00A2298A"/>
    <w:rsid w:val="00A23112"/>
    <w:rsid w:val="00A24E5D"/>
    <w:rsid w:val="00A30926"/>
    <w:rsid w:val="00A31C76"/>
    <w:rsid w:val="00A3623B"/>
    <w:rsid w:val="00A363A7"/>
    <w:rsid w:val="00A36CE5"/>
    <w:rsid w:val="00A40E23"/>
    <w:rsid w:val="00A414F5"/>
    <w:rsid w:val="00A41F98"/>
    <w:rsid w:val="00A466B9"/>
    <w:rsid w:val="00A46E0F"/>
    <w:rsid w:val="00A47E53"/>
    <w:rsid w:val="00A5057C"/>
    <w:rsid w:val="00A51A77"/>
    <w:rsid w:val="00A55AA5"/>
    <w:rsid w:val="00A613D3"/>
    <w:rsid w:val="00A61FD0"/>
    <w:rsid w:val="00A62D92"/>
    <w:rsid w:val="00A650F4"/>
    <w:rsid w:val="00A71542"/>
    <w:rsid w:val="00A715B4"/>
    <w:rsid w:val="00A71CF1"/>
    <w:rsid w:val="00A72B3B"/>
    <w:rsid w:val="00A72C03"/>
    <w:rsid w:val="00A737AF"/>
    <w:rsid w:val="00A76EDB"/>
    <w:rsid w:val="00A77F8F"/>
    <w:rsid w:val="00A80814"/>
    <w:rsid w:val="00A820E0"/>
    <w:rsid w:val="00A828E5"/>
    <w:rsid w:val="00A83E8C"/>
    <w:rsid w:val="00A845EF"/>
    <w:rsid w:val="00A84D4E"/>
    <w:rsid w:val="00A86931"/>
    <w:rsid w:val="00A90FA1"/>
    <w:rsid w:val="00A9242B"/>
    <w:rsid w:val="00A930DF"/>
    <w:rsid w:val="00A9362A"/>
    <w:rsid w:val="00A93712"/>
    <w:rsid w:val="00A96317"/>
    <w:rsid w:val="00AA05B1"/>
    <w:rsid w:val="00AA20B5"/>
    <w:rsid w:val="00AA2512"/>
    <w:rsid w:val="00AA4713"/>
    <w:rsid w:val="00AA71F7"/>
    <w:rsid w:val="00AA7419"/>
    <w:rsid w:val="00AB07B7"/>
    <w:rsid w:val="00AB0A6B"/>
    <w:rsid w:val="00AB0BB7"/>
    <w:rsid w:val="00AB1E4D"/>
    <w:rsid w:val="00AB3121"/>
    <w:rsid w:val="00AB3792"/>
    <w:rsid w:val="00AB5B89"/>
    <w:rsid w:val="00AB797B"/>
    <w:rsid w:val="00AC1E2C"/>
    <w:rsid w:val="00AC52C7"/>
    <w:rsid w:val="00AC570F"/>
    <w:rsid w:val="00AC77B1"/>
    <w:rsid w:val="00AD3124"/>
    <w:rsid w:val="00AD3630"/>
    <w:rsid w:val="00AD3A5A"/>
    <w:rsid w:val="00AD3C25"/>
    <w:rsid w:val="00AD6E58"/>
    <w:rsid w:val="00AE0A28"/>
    <w:rsid w:val="00AE49D4"/>
    <w:rsid w:val="00AE540F"/>
    <w:rsid w:val="00AE6484"/>
    <w:rsid w:val="00AE6968"/>
    <w:rsid w:val="00AF022E"/>
    <w:rsid w:val="00AF09B0"/>
    <w:rsid w:val="00AF43BC"/>
    <w:rsid w:val="00AF53A7"/>
    <w:rsid w:val="00AF54ED"/>
    <w:rsid w:val="00AF55B9"/>
    <w:rsid w:val="00AF5C48"/>
    <w:rsid w:val="00AF65F4"/>
    <w:rsid w:val="00B00A16"/>
    <w:rsid w:val="00B03275"/>
    <w:rsid w:val="00B03545"/>
    <w:rsid w:val="00B04A54"/>
    <w:rsid w:val="00B04CBE"/>
    <w:rsid w:val="00B07B88"/>
    <w:rsid w:val="00B12748"/>
    <w:rsid w:val="00B14CC3"/>
    <w:rsid w:val="00B16A32"/>
    <w:rsid w:val="00B16C43"/>
    <w:rsid w:val="00B2009D"/>
    <w:rsid w:val="00B214B6"/>
    <w:rsid w:val="00B2209E"/>
    <w:rsid w:val="00B229DE"/>
    <w:rsid w:val="00B22D54"/>
    <w:rsid w:val="00B23BB3"/>
    <w:rsid w:val="00B23EF9"/>
    <w:rsid w:val="00B25288"/>
    <w:rsid w:val="00B25D8A"/>
    <w:rsid w:val="00B25E6A"/>
    <w:rsid w:val="00B322B8"/>
    <w:rsid w:val="00B33FAA"/>
    <w:rsid w:val="00B35561"/>
    <w:rsid w:val="00B3679B"/>
    <w:rsid w:val="00B37C6A"/>
    <w:rsid w:val="00B412C9"/>
    <w:rsid w:val="00B452AF"/>
    <w:rsid w:val="00B4786E"/>
    <w:rsid w:val="00B5054B"/>
    <w:rsid w:val="00B51BEA"/>
    <w:rsid w:val="00B5286A"/>
    <w:rsid w:val="00B541FC"/>
    <w:rsid w:val="00B54B06"/>
    <w:rsid w:val="00B55F22"/>
    <w:rsid w:val="00B604E9"/>
    <w:rsid w:val="00B62507"/>
    <w:rsid w:val="00B62607"/>
    <w:rsid w:val="00B6481E"/>
    <w:rsid w:val="00B665C6"/>
    <w:rsid w:val="00B73168"/>
    <w:rsid w:val="00B76200"/>
    <w:rsid w:val="00B766AC"/>
    <w:rsid w:val="00B82DDF"/>
    <w:rsid w:val="00B85675"/>
    <w:rsid w:val="00B8687B"/>
    <w:rsid w:val="00B86EC6"/>
    <w:rsid w:val="00B90675"/>
    <w:rsid w:val="00B95C50"/>
    <w:rsid w:val="00B97F02"/>
    <w:rsid w:val="00BA0296"/>
    <w:rsid w:val="00BA1D47"/>
    <w:rsid w:val="00BA2D8B"/>
    <w:rsid w:val="00BA4FAC"/>
    <w:rsid w:val="00BA5078"/>
    <w:rsid w:val="00BA5264"/>
    <w:rsid w:val="00BA583B"/>
    <w:rsid w:val="00BA6294"/>
    <w:rsid w:val="00BA67B9"/>
    <w:rsid w:val="00BA6C73"/>
    <w:rsid w:val="00BB081F"/>
    <w:rsid w:val="00BB3E50"/>
    <w:rsid w:val="00BB6660"/>
    <w:rsid w:val="00BB7087"/>
    <w:rsid w:val="00BC094F"/>
    <w:rsid w:val="00BC0D39"/>
    <w:rsid w:val="00BC460E"/>
    <w:rsid w:val="00BC4F92"/>
    <w:rsid w:val="00BC5F98"/>
    <w:rsid w:val="00BC5FB4"/>
    <w:rsid w:val="00BC63F6"/>
    <w:rsid w:val="00BC708E"/>
    <w:rsid w:val="00BC79E7"/>
    <w:rsid w:val="00BD1E2D"/>
    <w:rsid w:val="00BD3721"/>
    <w:rsid w:val="00BE0AE2"/>
    <w:rsid w:val="00BE1825"/>
    <w:rsid w:val="00BE32D8"/>
    <w:rsid w:val="00BE49A5"/>
    <w:rsid w:val="00BE642B"/>
    <w:rsid w:val="00BE6BB9"/>
    <w:rsid w:val="00BE7EEF"/>
    <w:rsid w:val="00BF2899"/>
    <w:rsid w:val="00BF4933"/>
    <w:rsid w:val="00BF4D62"/>
    <w:rsid w:val="00BF5375"/>
    <w:rsid w:val="00BF650E"/>
    <w:rsid w:val="00BF6E15"/>
    <w:rsid w:val="00BF6F52"/>
    <w:rsid w:val="00BF76E3"/>
    <w:rsid w:val="00BF786F"/>
    <w:rsid w:val="00BF7D83"/>
    <w:rsid w:val="00C0099B"/>
    <w:rsid w:val="00C02D8B"/>
    <w:rsid w:val="00C04BCD"/>
    <w:rsid w:val="00C04E54"/>
    <w:rsid w:val="00C06291"/>
    <w:rsid w:val="00C07DF5"/>
    <w:rsid w:val="00C1004A"/>
    <w:rsid w:val="00C1178D"/>
    <w:rsid w:val="00C11CE1"/>
    <w:rsid w:val="00C12E40"/>
    <w:rsid w:val="00C15783"/>
    <w:rsid w:val="00C15C78"/>
    <w:rsid w:val="00C2349D"/>
    <w:rsid w:val="00C26ABB"/>
    <w:rsid w:val="00C36BBA"/>
    <w:rsid w:val="00C3761C"/>
    <w:rsid w:val="00C418E7"/>
    <w:rsid w:val="00C44968"/>
    <w:rsid w:val="00C46497"/>
    <w:rsid w:val="00C500EF"/>
    <w:rsid w:val="00C50373"/>
    <w:rsid w:val="00C5069F"/>
    <w:rsid w:val="00C50FC5"/>
    <w:rsid w:val="00C539DA"/>
    <w:rsid w:val="00C541A0"/>
    <w:rsid w:val="00C55CAC"/>
    <w:rsid w:val="00C56A8D"/>
    <w:rsid w:val="00C62E9D"/>
    <w:rsid w:val="00C6461C"/>
    <w:rsid w:val="00C655B8"/>
    <w:rsid w:val="00C669A6"/>
    <w:rsid w:val="00C70540"/>
    <w:rsid w:val="00C749E4"/>
    <w:rsid w:val="00C7552E"/>
    <w:rsid w:val="00C77E2F"/>
    <w:rsid w:val="00C87988"/>
    <w:rsid w:val="00C911D8"/>
    <w:rsid w:val="00C91DAE"/>
    <w:rsid w:val="00C92A58"/>
    <w:rsid w:val="00C93549"/>
    <w:rsid w:val="00C938C2"/>
    <w:rsid w:val="00C93A1E"/>
    <w:rsid w:val="00C93CEA"/>
    <w:rsid w:val="00C9482E"/>
    <w:rsid w:val="00C95C20"/>
    <w:rsid w:val="00C96FDD"/>
    <w:rsid w:val="00CA0F0E"/>
    <w:rsid w:val="00CA23FA"/>
    <w:rsid w:val="00CA3125"/>
    <w:rsid w:val="00CA3A3D"/>
    <w:rsid w:val="00CA59D5"/>
    <w:rsid w:val="00CA663E"/>
    <w:rsid w:val="00CA7130"/>
    <w:rsid w:val="00CB2144"/>
    <w:rsid w:val="00CB3613"/>
    <w:rsid w:val="00CB728F"/>
    <w:rsid w:val="00CC1984"/>
    <w:rsid w:val="00CC1BBB"/>
    <w:rsid w:val="00CC4F91"/>
    <w:rsid w:val="00CC5BD3"/>
    <w:rsid w:val="00CC627C"/>
    <w:rsid w:val="00CD0241"/>
    <w:rsid w:val="00CD0600"/>
    <w:rsid w:val="00CD51D1"/>
    <w:rsid w:val="00CD5452"/>
    <w:rsid w:val="00CE01CD"/>
    <w:rsid w:val="00CE36C6"/>
    <w:rsid w:val="00CE42E0"/>
    <w:rsid w:val="00CE6446"/>
    <w:rsid w:val="00CF07DB"/>
    <w:rsid w:val="00CF2164"/>
    <w:rsid w:val="00CF2BE5"/>
    <w:rsid w:val="00CF4887"/>
    <w:rsid w:val="00CF4979"/>
    <w:rsid w:val="00CF6D33"/>
    <w:rsid w:val="00CF7C49"/>
    <w:rsid w:val="00D02196"/>
    <w:rsid w:val="00D0333C"/>
    <w:rsid w:val="00D1055E"/>
    <w:rsid w:val="00D11A79"/>
    <w:rsid w:val="00D11AA0"/>
    <w:rsid w:val="00D20419"/>
    <w:rsid w:val="00D2066F"/>
    <w:rsid w:val="00D23845"/>
    <w:rsid w:val="00D24994"/>
    <w:rsid w:val="00D24ECB"/>
    <w:rsid w:val="00D275E9"/>
    <w:rsid w:val="00D3000A"/>
    <w:rsid w:val="00D30AF4"/>
    <w:rsid w:val="00D30B0B"/>
    <w:rsid w:val="00D30BCE"/>
    <w:rsid w:val="00D34028"/>
    <w:rsid w:val="00D34E6F"/>
    <w:rsid w:val="00D36869"/>
    <w:rsid w:val="00D4033E"/>
    <w:rsid w:val="00D411C3"/>
    <w:rsid w:val="00D45BDF"/>
    <w:rsid w:val="00D5043B"/>
    <w:rsid w:val="00D52A10"/>
    <w:rsid w:val="00D535BD"/>
    <w:rsid w:val="00D578D1"/>
    <w:rsid w:val="00D602E0"/>
    <w:rsid w:val="00D633C4"/>
    <w:rsid w:val="00D63404"/>
    <w:rsid w:val="00D660FF"/>
    <w:rsid w:val="00D67DCB"/>
    <w:rsid w:val="00D72BD9"/>
    <w:rsid w:val="00D77779"/>
    <w:rsid w:val="00D779AB"/>
    <w:rsid w:val="00D81481"/>
    <w:rsid w:val="00D81C45"/>
    <w:rsid w:val="00D83917"/>
    <w:rsid w:val="00D87C98"/>
    <w:rsid w:val="00D91551"/>
    <w:rsid w:val="00D91F2F"/>
    <w:rsid w:val="00D92A71"/>
    <w:rsid w:val="00D92E31"/>
    <w:rsid w:val="00D95C5E"/>
    <w:rsid w:val="00D974DF"/>
    <w:rsid w:val="00D977F5"/>
    <w:rsid w:val="00D97A4B"/>
    <w:rsid w:val="00DA1602"/>
    <w:rsid w:val="00DA244B"/>
    <w:rsid w:val="00DA339C"/>
    <w:rsid w:val="00DA573F"/>
    <w:rsid w:val="00DA6C95"/>
    <w:rsid w:val="00DB07EB"/>
    <w:rsid w:val="00DB090B"/>
    <w:rsid w:val="00DB393F"/>
    <w:rsid w:val="00DB4041"/>
    <w:rsid w:val="00DC2E80"/>
    <w:rsid w:val="00DC48F5"/>
    <w:rsid w:val="00DC5C73"/>
    <w:rsid w:val="00DC76A1"/>
    <w:rsid w:val="00DD5437"/>
    <w:rsid w:val="00DD7C3A"/>
    <w:rsid w:val="00DE0A5D"/>
    <w:rsid w:val="00DE2C87"/>
    <w:rsid w:val="00DE31EA"/>
    <w:rsid w:val="00DF061E"/>
    <w:rsid w:val="00DF0D87"/>
    <w:rsid w:val="00DF16DA"/>
    <w:rsid w:val="00DF43A3"/>
    <w:rsid w:val="00DF4A16"/>
    <w:rsid w:val="00DF53EF"/>
    <w:rsid w:val="00DF5A89"/>
    <w:rsid w:val="00DF685B"/>
    <w:rsid w:val="00E011DA"/>
    <w:rsid w:val="00E03289"/>
    <w:rsid w:val="00E03798"/>
    <w:rsid w:val="00E038AB"/>
    <w:rsid w:val="00E05710"/>
    <w:rsid w:val="00E114C9"/>
    <w:rsid w:val="00E12647"/>
    <w:rsid w:val="00E1274C"/>
    <w:rsid w:val="00E12A76"/>
    <w:rsid w:val="00E12C38"/>
    <w:rsid w:val="00E140A3"/>
    <w:rsid w:val="00E206F6"/>
    <w:rsid w:val="00E210AF"/>
    <w:rsid w:val="00E26064"/>
    <w:rsid w:val="00E266E8"/>
    <w:rsid w:val="00E27106"/>
    <w:rsid w:val="00E30699"/>
    <w:rsid w:val="00E32CEA"/>
    <w:rsid w:val="00E33A27"/>
    <w:rsid w:val="00E35582"/>
    <w:rsid w:val="00E36633"/>
    <w:rsid w:val="00E373D4"/>
    <w:rsid w:val="00E41540"/>
    <w:rsid w:val="00E50FC5"/>
    <w:rsid w:val="00E52BB8"/>
    <w:rsid w:val="00E52EE3"/>
    <w:rsid w:val="00E54BF8"/>
    <w:rsid w:val="00E55878"/>
    <w:rsid w:val="00E55B0E"/>
    <w:rsid w:val="00E55F63"/>
    <w:rsid w:val="00E56403"/>
    <w:rsid w:val="00E62DBC"/>
    <w:rsid w:val="00E630D2"/>
    <w:rsid w:val="00E65C58"/>
    <w:rsid w:val="00E6661B"/>
    <w:rsid w:val="00E667B9"/>
    <w:rsid w:val="00E67D62"/>
    <w:rsid w:val="00E67EC6"/>
    <w:rsid w:val="00E67ECD"/>
    <w:rsid w:val="00E729DB"/>
    <w:rsid w:val="00E73248"/>
    <w:rsid w:val="00E73610"/>
    <w:rsid w:val="00E777B3"/>
    <w:rsid w:val="00E77D81"/>
    <w:rsid w:val="00E81033"/>
    <w:rsid w:val="00E810C3"/>
    <w:rsid w:val="00E848E7"/>
    <w:rsid w:val="00E84EC5"/>
    <w:rsid w:val="00E859C4"/>
    <w:rsid w:val="00E93577"/>
    <w:rsid w:val="00E94837"/>
    <w:rsid w:val="00E95C79"/>
    <w:rsid w:val="00E9650A"/>
    <w:rsid w:val="00E965BF"/>
    <w:rsid w:val="00E97B57"/>
    <w:rsid w:val="00EA1E6F"/>
    <w:rsid w:val="00EA3258"/>
    <w:rsid w:val="00EA444E"/>
    <w:rsid w:val="00EA490A"/>
    <w:rsid w:val="00EA6107"/>
    <w:rsid w:val="00EB1011"/>
    <w:rsid w:val="00EB1AF5"/>
    <w:rsid w:val="00EB2D35"/>
    <w:rsid w:val="00EB4CB2"/>
    <w:rsid w:val="00EB5E48"/>
    <w:rsid w:val="00EC1475"/>
    <w:rsid w:val="00ED1F14"/>
    <w:rsid w:val="00ED52C1"/>
    <w:rsid w:val="00EE05A2"/>
    <w:rsid w:val="00EE102F"/>
    <w:rsid w:val="00EE2F37"/>
    <w:rsid w:val="00EE3297"/>
    <w:rsid w:val="00EE35D5"/>
    <w:rsid w:val="00EE4FEC"/>
    <w:rsid w:val="00EE57BE"/>
    <w:rsid w:val="00EE6875"/>
    <w:rsid w:val="00EF0218"/>
    <w:rsid w:val="00EF06AA"/>
    <w:rsid w:val="00EF0D9C"/>
    <w:rsid w:val="00EF19A3"/>
    <w:rsid w:val="00EF1FC5"/>
    <w:rsid w:val="00EF22CD"/>
    <w:rsid w:val="00EF2D43"/>
    <w:rsid w:val="00EF4691"/>
    <w:rsid w:val="00EF676C"/>
    <w:rsid w:val="00EF6CF5"/>
    <w:rsid w:val="00F07CA5"/>
    <w:rsid w:val="00F14FCA"/>
    <w:rsid w:val="00F16538"/>
    <w:rsid w:val="00F1653A"/>
    <w:rsid w:val="00F168A7"/>
    <w:rsid w:val="00F16DE1"/>
    <w:rsid w:val="00F170F2"/>
    <w:rsid w:val="00F20CB6"/>
    <w:rsid w:val="00F2155C"/>
    <w:rsid w:val="00F220BE"/>
    <w:rsid w:val="00F232DC"/>
    <w:rsid w:val="00F23802"/>
    <w:rsid w:val="00F307C5"/>
    <w:rsid w:val="00F31D56"/>
    <w:rsid w:val="00F352CC"/>
    <w:rsid w:val="00F36B62"/>
    <w:rsid w:val="00F4009A"/>
    <w:rsid w:val="00F406DC"/>
    <w:rsid w:val="00F40A44"/>
    <w:rsid w:val="00F435F7"/>
    <w:rsid w:val="00F44025"/>
    <w:rsid w:val="00F460DA"/>
    <w:rsid w:val="00F46629"/>
    <w:rsid w:val="00F5091F"/>
    <w:rsid w:val="00F5403D"/>
    <w:rsid w:val="00F54041"/>
    <w:rsid w:val="00F57424"/>
    <w:rsid w:val="00F57718"/>
    <w:rsid w:val="00F57C81"/>
    <w:rsid w:val="00F609C5"/>
    <w:rsid w:val="00F6269E"/>
    <w:rsid w:val="00F6379D"/>
    <w:rsid w:val="00F65248"/>
    <w:rsid w:val="00F710DD"/>
    <w:rsid w:val="00F73136"/>
    <w:rsid w:val="00F7354A"/>
    <w:rsid w:val="00F756B5"/>
    <w:rsid w:val="00F75DA8"/>
    <w:rsid w:val="00F75F6B"/>
    <w:rsid w:val="00F76760"/>
    <w:rsid w:val="00F76E63"/>
    <w:rsid w:val="00F80340"/>
    <w:rsid w:val="00F80564"/>
    <w:rsid w:val="00F80FD5"/>
    <w:rsid w:val="00F81E38"/>
    <w:rsid w:val="00F81FFA"/>
    <w:rsid w:val="00F86A3D"/>
    <w:rsid w:val="00F86B0D"/>
    <w:rsid w:val="00F86C46"/>
    <w:rsid w:val="00F917C0"/>
    <w:rsid w:val="00F95BC8"/>
    <w:rsid w:val="00F963FF"/>
    <w:rsid w:val="00F9763B"/>
    <w:rsid w:val="00FA5C09"/>
    <w:rsid w:val="00FB4952"/>
    <w:rsid w:val="00FB57CC"/>
    <w:rsid w:val="00FB599C"/>
    <w:rsid w:val="00FB7C69"/>
    <w:rsid w:val="00FC12CC"/>
    <w:rsid w:val="00FC1C17"/>
    <w:rsid w:val="00FC37AC"/>
    <w:rsid w:val="00FC40F2"/>
    <w:rsid w:val="00FC423F"/>
    <w:rsid w:val="00FC5FAA"/>
    <w:rsid w:val="00FC6AD5"/>
    <w:rsid w:val="00FD187E"/>
    <w:rsid w:val="00FD18FB"/>
    <w:rsid w:val="00FD192E"/>
    <w:rsid w:val="00FD2708"/>
    <w:rsid w:val="00FD4B1D"/>
    <w:rsid w:val="00FD7CD0"/>
    <w:rsid w:val="00FE1A3A"/>
    <w:rsid w:val="00FE2706"/>
    <w:rsid w:val="00FE39F6"/>
    <w:rsid w:val="00FE7934"/>
    <w:rsid w:val="00FE7FE7"/>
    <w:rsid w:val="00FF2EA8"/>
    <w:rsid w:val="00FF37F6"/>
    <w:rsid w:val="00FF3CDB"/>
    <w:rsid w:val="00FF4ADD"/>
    <w:rsid w:val="03707E33"/>
    <w:rsid w:val="053A4512"/>
    <w:rsid w:val="0D7A2203"/>
    <w:rsid w:val="0F23243B"/>
    <w:rsid w:val="15D419A2"/>
    <w:rsid w:val="1C145B71"/>
    <w:rsid w:val="1EFD6E6C"/>
    <w:rsid w:val="22C43E51"/>
    <w:rsid w:val="27C7699B"/>
    <w:rsid w:val="28611E55"/>
    <w:rsid w:val="296C7298"/>
    <w:rsid w:val="2CAC016D"/>
    <w:rsid w:val="2FE500E7"/>
    <w:rsid w:val="2FF4615F"/>
    <w:rsid w:val="3268280F"/>
    <w:rsid w:val="32ED37E3"/>
    <w:rsid w:val="33C06DA7"/>
    <w:rsid w:val="34F53693"/>
    <w:rsid w:val="3CF116DA"/>
    <w:rsid w:val="3DA617F4"/>
    <w:rsid w:val="3EF458F2"/>
    <w:rsid w:val="3F1475D7"/>
    <w:rsid w:val="3FB701A1"/>
    <w:rsid w:val="43E60433"/>
    <w:rsid w:val="47CD227B"/>
    <w:rsid w:val="4A633E34"/>
    <w:rsid w:val="4B645E12"/>
    <w:rsid w:val="4F1F5C8F"/>
    <w:rsid w:val="50285660"/>
    <w:rsid w:val="52077856"/>
    <w:rsid w:val="552D350C"/>
    <w:rsid w:val="598A50F9"/>
    <w:rsid w:val="5DC91399"/>
    <w:rsid w:val="5EB43C37"/>
    <w:rsid w:val="5EF673A8"/>
    <w:rsid w:val="66255F81"/>
    <w:rsid w:val="675F6813"/>
    <w:rsid w:val="6C2C60E7"/>
    <w:rsid w:val="6F5114F1"/>
    <w:rsid w:val="70651EF6"/>
    <w:rsid w:val="74B60744"/>
    <w:rsid w:val="7D2726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1"/>
    <w:link w:val="61"/>
    <w:qFormat/>
    <w:uiPriority w:val="9"/>
    <w:pPr>
      <w:spacing w:before="340" w:after="330" w:line="360" w:lineRule="auto"/>
      <w:jc w:val="center"/>
      <w:outlineLvl w:val="0"/>
    </w:pPr>
    <w:rPr>
      <w:rFonts w:eastAsia="黑体"/>
      <w:kern w:val="44"/>
      <w:szCs w:val="44"/>
    </w:rPr>
  </w:style>
  <w:style w:type="paragraph" w:styleId="6">
    <w:name w:val="heading 2"/>
    <w:basedOn w:val="1"/>
    <w:next w:val="1"/>
    <w:link w:val="62"/>
    <w:qFormat/>
    <w:uiPriority w:val="0"/>
    <w:pPr>
      <w:adjustRightInd w:val="0"/>
      <w:jc w:val="center"/>
      <w:textAlignment w:val="baseline"/>
      <w:outlineLvl w:val="1"/>
    </w:pPr>
    <w:rPr>
      <w:sz w:val="24"/>
      <w:szCs w:val="20"/>
    </w:rPr>
  </w:style>
  <w:style w:type="paragraph" w:styleId="4">
    <w:name w:val="heading 3"/>
    <w:basedOn w:val="5"/>
    <w:next w:val="1"/>
    <w:link w:val="70"/>
    <w:qFormat/>
    <w:uiPriority w:val="9"/>
    <w:pPr>
      <w:spacing w:before="260" w:after="260" w:line="240" w:lineRule="auto"/>
      <w:outlineLvl w:val="2"/>
    </w:pPr>
    <w:rPr>
      <w:rFonts w:ascii="宋体" w:hAnsi="宋体" w:eastAsia="宋体"/>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8"/>
    <w:link w:val="65"/>
    <w:qFormat/>
    <w:uiPriority w:val="0"/>
    <w:pPr>
      <w:keepNext/>
      <w:keepLines/>
      <w:spacing w:before="280" w:after="290" w:line="376" w:lineRule="auto"/>
      <w:outlineLvl w:val="4"/>
    </w:pPr>
    <w:rPr>
      <w:rFonts w:ascii="Times New Roman" w:hAnsi="Times New Roman"/>
      <w:b/>
      <w:kern w:val="0"/>
      <w:sz w:val="28"/>
      <w:szCs w:val="20"/>
    </w:rPr>
  </w:style>
  <w:style w:type="paragraph" w:styleId="9">
    <w:name w:val="heading 6"/>
    <w:basedOn w:val="1"/>
    <w:next w:val="8"/>
    <w:link w:val="66"/>
    <w:qFormat/>
    <w:uiPriority w:val="0"/>
    <w:pPr>
      <w:keepNext/>
      <w:keepLines/>
      <w:spacing w:before="240" w:after="64" w:line="320" w:lineRule="auto"/>
      <w:outlineLvl w:val="5"/>
    </w:pPr>
    <w:rPr>
      <w:rFonts w:ascii="Arial" w:hAnsi="Arial" w:eastAsia="黑体"/>
      <w:b/>
      <w:kern w:val="0"/>
      <w:sz w:val="24"/>
      <w:szCs w:val="20"/>
    </w:rPr>
  </w:style>
  <w:style w:type="paragraph" w:styleId="10">
    <w:name w:val="heading 7"/>
    <w:basedOn w:val="1"/>
    <w:next w:val="8"/>
    <w:link w:val="67"/>
    <w:qFormat/>
    <w:uiPriority w:val="0"/>
    <w:pPr>
      <w:keepNext/>
      <w:keepLines/>
      <w:spacing w:before="240" w:after="64" w:line="320" w:lineRule="auto"/>
      <w:outlineLvl w:val="6"/>
    </w:pPr>
    <w:rPr>
      <w:rFonts w:ascii="Times New Roman" w:hAnsi="Times New Roman"/>
      <w:b/>
      <w:kern w:val="0"/>
      <w:sz w:val="24"/>
      <w:szCs w:val="20"/>
    </w:rPr>
  </w:style>
  <w:style w:type="paragraph" w:styleId="11">
    <w:name w:val="heading 8"/>
    <w:basedOn w:val="1"/>
    <w:next w:val="8"/>
    <w:link w:val="68"/>
    <w:qFormat/>
    <w:uiPriority w:val="0"/>
    <w:pPr>
      <w:keepNext/>
      <w:keepLines/>
      <w:spacing w:before="240" w:after="64" w:line="320" w:lineRule="auto"/>
      <w:outlineLvl w:val="7"/>
    </w:pPr>
    <w:rPr>
      <w:rFonts w:ascii="Arial" w:hAnsi="Arial" w:eastAsia="黑体"/>
      <w:kern w:val="0"/>
      <w:sz w:val="24"/>
      <w:szCs w:val="20"/>
    </w:rPr>
  </w:style>
  <w:style w:type="paragraph" w:styleId="12">
    <w:name w:val="heading 9"/>
    <w:basedOn w:val="1"/>
    <w:next w:val="8"/>
    <w:link w:val="69"/>
    <w:qFormat/>
    <w:uiPriority w:val="0"/>
    <w:pPr>
      <w:keepNext/>
      <w:keepLines/>
      <w:spacing w:before="240" w:after="64" w:line="320" w:lineRule="auto"/>
      <w:outlineLvl w:val="8"/>
    </w:pPr>
    <w:rPr>
      <w:rFonts w:ascii="Arial" w:hAnsi="Arial" w:eastAsia="黑体"/>
      <w:kern w:val="0"/>
      <w:sz w:val="20"/>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4"/>
    <w:qFormat/>
    <w:uiPriority w:val="0"/>
    <w:pPr>
      <w:spacing w:line="360" w:lineRule="auto"/>
    </w:pPr>
    <w:rPr>
      <w:rFonts w:ascii="Times New Roman" w:hAnsi="Times New Roman"/>
      <w:b/>
      <w:bCs/>
      <w:kern w:val="0"/>
      <w:sz w:val="24"/>
      <w:szCs w:val="24"/>
    </w:rPr>
  </w:style>
  <w:style w:type="paragraph" w:styleId="8">
    <w:name w:val="Normal Indent"/>
    <w:basedOn w:val="1"/>
    <w:link w:val="82"/>
    <w:qFormat/>
    <w:uiPriority w:val="0"/>
    <w:pPr>
      <w:ind w:firstLine="420"/>
    </w:pPr>
    <w:rPr>
      <w:rFonts w:ascii="Times New Roman" w:hAnsi="Times New Roman"/>
      <w:kern w:val="0"/>
      <w:sz w:val="20"/>
      <w:szCs w:val="20"/>
    </w:rPr>
  </w:style>
  <w:style w:type="paragraph" w:styleId="13">
    <w:name w:val="toc 7"/>
    <w:basedOn w:val="1"/>
    <w:next w:val="1"/>
    <w:semiHidden/>
    <w:qFormat/>
    <w:uiPriority w:val="0"/>
    <w:pPr>
      <w:ind w:left="1260"/>
      <w:jc w:val="left"/>
    </w:pPr>
    <w:rPr>
      <w:rFonts w:ascii="Times New Roman" w:hAnsi="Times New Roman"/>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tabs>
        <w:tab w:val="left" w:pos="360"/>
      </w:tabs>
      <w:ind w:left="360" w:hanging="360"/>
    </w:pPr>
    <w:rPr>
      <w:rFonts w:ascii="Times New Roman" w:hAnsi="Times New Roman"/>
      <w:szCs w:val="20"/>
    </w:rPr>
  </w:style>
  <w:style w:type="paragraph" w:styleId="16">
    <w:name w:val="Document Map"/>
    <w:basedOn w:val="1"/>
    <w:link w:val="122"/>
    <w:semiHidden/>
    <w:qFormat/>
    <w:uiPriority w:val="0"/>
    <w:pPr>
      <w:shd w:val="clear" w:color="auto" w:fill="000080"/>
    </w:pPr>
    <w:rPr>
      <w:rFonts w:ascii="Times New Roman" w:hAnsi="Times New Roman"/>
      <w:kern w:val="0"/>
      <w:sz w:val="20"/>
      <w:szCs w:val="24"/>
    </w:rPr>
  </w:style>
  <w:style w:type="paragraph" w:styleId="17">
    <w:name w:val="annotation text"/>
    <w:basedOn w:val="1"/>
    <w:link w:val="126"/>
    <w:qFormat/>
    <w:uiPriority w:val="0"/>
    <w:pPr>
      <w:autoSpaceDE w:val="0"/>
      <w:autoSpaceDN w:val="0"/>
      <w:adjustRightInd w:val="0"/>
      <w:jc w:val="left"/>
      <w:textAlignment w:val="baseline"/>
    </w:pPr>
    <w:rPr>
      <w:rFonts w:ascii="宋体" w:hAnsi="Times New Roman"/>
      <w:kern w:val="0"/>
      <w:sz w:val="34"/>
      <w:szCs w:val="20"/>
    </w:rPr>
  </w:style>
  <w:style w:type="paragraph" w:styleId="18">
    <w:name w:val="Body Text 3"/>
    <w:basedOn w:val="1"/>
    <w:link w:val="120"/>
    <w:qFormat/>
    <w:uiPriority w:val="0"/>
    <w:pPr>
      <w:spacing w:after="120"/>
    </w:pPr>
    <w:rPr>
      <w:rFonts w:ascii="Times New Roman" w:hAnsi="Times New Roman"/>
      <w:kern w:val="0"/>
      <w:sz w:val="16"/>
      <w:szCs w:val="16"/>
    </w:rPr>
  </w:style>
  <w:style w:type="paragraph" w:styleId="19">
    <w:name w:val="Body Text Indent"/>
    <w:basedOn w:val="1"/>
    <w:link w:val="125"/>
    <w:qFormat/>
    <w:uiPriority w:val="0"/>
    <w:pPr>
      <w:spacing w:line="360" w:lineRule="auto"/>
      <w:ind w:firstLine="420" w:firstLineChars="200"/>
    </w:pPr>
    <w:rPr>
      <w:rFonts w:ascii="Times New Roman" w:hAnsi="Times New Roman"/>
      <w:kern w:val="0"/>
      <w:sz w:val="20"/>
      <w:szCs w:val="24"/>
    </w:rPr>
  </w:style>
  <w:style w:type="paragraph" w:styleId="20">
    <w:name w:val="toc 5"/>
    <w:basedOn w:val="1"/>
    <w:next w:val="1"/>
    <w:semiHidden/>
    <w:qFormat/>
    <w:uiPriority w:val="0"/>
    <w:pPr>
      <w:ind w:left="840"/>
      <w:jc w:val="left"/>
    </w:pPr>
    <w:rPr>
      <w:rFonts w:ascii="Times New Roman" w:hAnsi="Times New Roman"/>
      <w:szCs w:val="21"/>
    </w:rPr>
  </w:style>
  <w:style w:type="paragraph" w:styleId="21">
    <w:name w:val="toc 3"/>
    <w:basedOn w:val="1"/>
    <w:next w:val="1"/>
    <w:semiHidden/>
    <w:qFormat/>
    <w:uiPriority w:val="0"/>
    <w:pPr>
      <w:ind w:left="420"/>
      <w:jc w:val="left"/>
    </w:pPr>
    <w:rPr>
      <w:rFonts w:ascii="Times New Roman" w:hAnsi="Times New Roman"/>
      <w:i/>
      <w:iCs/>
      <w:szCs w:val="24"/>
    </w:rPr>
  </w:style>
  <w:style w:type="paragraph" w:styleId="22">
    <w:name w:val="Plain Text"/>
    <w:basedOn w:val="1"/>
    <w:link w:val="121"/>
    <w:qFormat/>
    <w:uiPriority w:val="0"/>
    <w:rPr>
      <w:rFonts w:ascii="宋体" w:hAnsi="Courier New"/>
      <w:kern w:val="0"/>
      <w:sz w:val="20"/>
      <w:szCs w:val="20"/>
    </w:rPr>
  </w:style>
  <w:style w:type="paragraph" w:styleId="23">
    <w:name w:val="toc 8"/>
    <w:basedOn w:val="1"/>
    <w:next w:val="1"/>
    <w:semiHidden/>
    <w:qFormat/>
    <w:uiPriority w:val="0"/>
    <w:pPr>
      <w:ind w:left="1470"/>
      <w:jc w:val="left"/>
    </w:pPr>
    <w:rPr>
      <w:rFonts w:ascii="Times New Roman" w:hAnsi="Times New Roman"/>
      <w:szCs w:val="21"/>
    </w:rPr>
  </w:style>
  <w:style w:type="paragraph" w:styleId="24">
    <w:name w:val="Date"/>
    <w:basedOn w:val="1"/>
    <w:next w:val="1"/>
    <w:link w:val="123"/>
    <w:qFormat/>
    <w:uiPriority w:val="0"/>
    <w:rPr>
      <w:rFonts w:ascii="宋体" w:hAnsi="Courier New"/>
      <w:kern w:val="0"/>
      <w:sz w:val="32"/>
      <w:szCs w:val="20"/>
    </w:rPr>
  </w:style>
  <w:style w:type="paragraph" w:styleId="25">
    <w:name w:val="Body Text Indent 2"/>
    <w:basedOn w:val="1"/>
    <w:link w:val="128"/>
    <w:qFormat/>
    <w:uiPriority w:val="0"/>
    <w:pPr>
      <w:spacing w:beforeLines="50" w:afterLines="50" w:line="120" w:lineRule="auto"/>
      <w:ind w:firstLine="840" w:firstLineChars="400"/>
      <w:jc w:val="left"/>
    </w:pPr>
    <w:rPr>
      <w:rFonts w:ascii="宋体" w:hAnsi="宋体"/>
      <w:kern w:val="0"/>
      <w:sz w:val="20"/>
      <w:szCs w:val="24"/>
    </w:rPr>
  </w:style>
  <w:style w:type="paragraph" w:styleId="26">
    <w:name w:val="Balloon Text"/>
    <w:basedOn w:val="1"/>
    <w:link w:val="130"/>
    <w:qFormat/>
    <w:uiPriority w:val="99"/>
    <w:rPr>
      <w:rFonts w:ascii="Times New Roman" w:hAnsi="Times New Roman"/>
      <w:kern w:val="0"/>
      <w:sz w:val="18"/>
      <w:szCs w:val="18"/>
    </w:rPr>
  </w:style>
  <w:style w:type="paragraph" w:styleId="27">
    <w:name w:val="footer"/>
    <w:basedOn w:val="1"/>
    <w:link w:val="60"/>
    <w:unhideWhenUsed/>
    <w:qFormat/>
    <w:uiPriority w:val="99"/>
    <w:pPr>
      <w:tabs>
        <w:tab w:val="center" w:pos="4153"/>
        <w:tab w:val="right" w:pos="8306"/>
      </w:tabs>
      <w:snapToGrid w:val="0"/>
      <w:jc w:val="left"/>
    </w:pPr>
    <w:rPr>
      <w:sz w:val="18"/>
      <w:szCs w:val="18"/>
    </w:rPr>
  </w:style>
  <w:style w:type="paragraph" w:styleId="28">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pPr>
      <w:spacing w:before="120" w:after="120"/>
      <w:jc w:val="left"/>
    </w:pPr>
    <w:rPr>
      <w:rFonts w:ascii="Times New Roman" w:hAnsi="Times New Roman"/>
      <w:b/>
      <w:bCs/>
      <w:caps/>
      <w:szCs w:val="24"/>
    </w:rPr>
  </w:style>
  <w:style w:type="paragraph" w:styleId="30">
    <w:name w:val="toc 4"/>
    <w:basedOn w:val="1"/>
    <w:next w:val="1"/>
    <w:semiHidden/>
    <w:qFormat/>
    <w:uiPriority w:val="0"/>
    <w:pPr>
      <w:ind w:left="630"/>
      <w:jc w:val="left"/>
    </w:pPr>
    <w:rPr>
      <w:rFonts w:ascii="Times New Roman" w:hAnsi="Times New Roman"/>
      <w:szCs w:val="21"/>
    </w:rPr>
  </w:style>
  <w:style w:type="paragraph" w:styleId="31">
    <w:name w:val="toc 6"/>
    <w:basedOn w:val="1"/>
    <w:next w:val="1"/>
    <w:semiHidden/>
    <w:qFormat/>
    <w:uiPriority w:val="0"/>
    <w:pPr>
      <w:ind w:left="1050"/>
      <w:jc w:val="left"/>
    </w:pPr>
    <w:rPr>
      <w:rFonts w:ascii="Times New Roman" w:hAnsi="Times New Roman"/>
      <w:szCs w:val="21"/>
    </w:rPr>
  </w:style>
  <w:style w:type="paragraph" w:styleId="32">
    <w:name w:val="Body Text Indent 3"/>
    <w:basedOn w:val="1"/>
    <w:link w:val="131"/>
    <w:qFormat/>
    <w:uiPriority w:val="0"/>
    <w:pPr>
      <w:spacing w:line="360" w:lineRule="auto"/>
      <w:ind w:firstLine="482" w:firstLineChars="200"/>
    </w:pPr>
    <w:rPr>
      <w:rFonts w:ascii="宋体" w:hAnsi="Times New Roman"/>
      <w:b/>
      <w:bCs/>
      <w:kern w:val="0"/>
      <w:sz w:val="24"/>
      <w:szCs w:val="24"/>
    </w:rPr>
  </w:style>
  <w:style w:type="paragraph" w:styleId="33">
    <w:name w:val="toc 2"/>
    <w:basedOn w:val="1"/>
    <w:next w:val="1"/>
    <w:qFormat/>
    <w:uiPriority w:val="0"/>
    <w:pPr>
      <w:tabs>
        <w:tab w:val="right" w:leader="dot" w:pos="8296"/>
      </w:tabs>
      <w:ind w:left="210"/>
      <w:jc w:val="left"/>
    </w:pPr>
    <w:rPr>
      <w:rFonts w:ascii="Times New Roman" w:hAnsi="Times New Roman"/>
      <w:smallCaps/>
      <w:szCs w:val="24"/>
    </w:rPr>
  </w:style>
  <w:style w:type="paragraph" w:styleId="34">
    <w:name w:val="toc 9"/>
    <w:basedOn w:val="1"/>
    <w:next w:val="1"/>
    <w:semiHidden/>
    <w:qFormat/>
    <w:uiPriority w:val="0"/>
    <w:pPr>
      <w:ind w:left="1680"/>
      <w:jc w:val="left"/>
    </w:pPr>
    <w:rPr>
      <w:rFonts w:ascii="Times New Roman" w:hAnsi="Times New Roman"/>
      <w:szCs w:val="21"/>
    </w:rPr>
  </w:style>
  <w:style w:type="paragraph" w:styleId="35">
    <w:name w:val="Body Text 2"/>
    <w:basedOn w:val="1"/>
    <w:link w:val="129"/>
    <w:qFormat/>
    <w:uiPriority w:val="0"/>
    <w:pPr>
      <w:spacing w:line="360" w:lineRule="auto"/>
    </w:pPr>
    <w:rPr>
      <w:rFonts w:ascii="Times New Roman" w:hAnsi="Times New Roman"/>
      <w:kern w:val="0"/>
      <w:sz w:val="24"/>
      <w:szCs w:val="24"/>
    </w:rPr>
  </w:style>
  <w:style w:type="paragraph" w:styleId="36">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39">
    <w:name w:val="Title"/>
    <w:basedOn w:val="1"/>
    <w:link w:val="132"/>
    <w:qFormat/>
    <w:uiPriority w:val="0"/>
    <w:pPr>
      <w:spacing w:before="240" w:after="60"/>
      <w:jc w:val="center"/>
      <w:outlineLvl w:val="0"/>
    </w:pPr>
    <w:rPr>
      <w:rFonts w:ascii="Arial" w:hAnsi="Arial" w:eastAsia="隶书"/>
      <w:b/>
      <w:bCs/>
      <w:kern w:val="0"/>
      <w:sz w:val="32"/>
      <w:szCs w:val="32"/>
    </w:rPr>
  </w:style>
  <w:style w:type="paragraph" w:styleId="40">
    <w:name w:val="annotation subject"/>
    <w:basedOn w:val="17"/>
    <w:next w:val="17"/>
    <w:link w:val="133"/>
    <w:qFormat/>
    <w:uiPriority w:val="99"/>
    <w:pPr>
      <w:autoSpaceDE/>
      <w:autoSpaceDN/>
      <w:adjustRightInd/>
      <w:textAlignment w:val="auto"/>
    </w:pPr>
    <w:rPr>
      <w:rFonts w:ascii="Times New Roman"/>
      <w:b/>
      <w:bCs/>
      <w:szCs w:val="24"/>
    </w:rPr>
  </w:style>
  <w:style w:type="paragraph" w:styleId="41">
    <w:name w:val="Body Text First Indent"/>
    <w:basedOn w:val="2"/>
    <w:link w:val="134"/>
    <w:qFormat/>
    <w:uiPriority w:val="0"/>
    <w:pPr>
      <w:spacing w:after="120" w:line="240" w:lineRule="auto"/>
      <w:ind w:firstLine="420" w:firstLineChars="100"/>
    </w:pPr>
    <w:rPr>
      <w:sz w:val="20"/>
    </w:rPr>
  </w:style>
  <w:style w:type="table" w:styleId="43">
    <w:name w:val="Table Grid"/>
    <w:basedOn w:val="4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basedOn w:val="44"/>
    <w:unhideWhenUsed/>
    <w:qFormat/>
    <w:uiPriority w:val="99"/>
    <w:rPr>
      <w:color w:val="5C5C5C"/>
      <w:u w:val="none"/>
    </w:rPr>
  </w:style>
  <w:style w:type="character" w:styleId="48">
    <w:name w:val="Emphasis"/>
    <w:basedOn w:val="44"/>
    <w:qFormat/>
    <w:uiPriority w:val="20"/>
    <w:rPr>
      <w:b/>
      <w:bCs/>
    </w:rPr>
  </w:style>
  <w:style w:type="character" w:styleId="49">
    <w:name w:val="HTML Definition"/>
    <w:basedOn w:val="44"/>
    <w:semiHidden/>
    <w:unhideWhenUsed/>
    <w:qFormat/>
    <w:uiPriority w:val="99"/>
  </w:style>
  <w:style w:type="character" w:styleId="50">
    <w:name w:val="HTML Typewriter"/>
    <w:basedOn w:val="44"/>
    <w:semiHidden/>
    <w:unhideWhenUsed/>
    <w:qFormat/>
    <w:uiPriority w:val="99"/>
    <w:rPr>
      <w:rFonts w:hint="default" w:ascii="monospace" w:hAnsi="monospace" w:eastAsia="monospace" w:cs="monospace"/>
      <w:sz w:val="20"/>
    </w:rPr>
  </w:style>
  <w:style w:type="character" w:styleId="51">
    <w:name w:val="HTML Acronym"/>
    <w:basedOn w:val="44"/>
    <w:semiHidden/>
    <w:unhideWhenUsed/>
    <w:qFormat/>
    <w:uiPriority w:val="99"/>
  </w:style>
  <w:style w:type="character" w:styleId="52">
    <w:name w:val="HTML Variable"/>
    <w:basedOn w:val="44"/>
    <w:semiHidden/>
    <w:unhideWhenUsed/>
    <w:qFormat/>
    <w:uiPriority w:val="99"/>
  </w:style>
  <w:style w:type="character" w:styleId="53">
    <w:name w:val="Hyperlink"/>
    <w:basedOn w:val="44"/>
    <w:qFormat/>
    <w:uiPriority w:val="0"/>
    <w:rPr>
      <w:color w:val="5C5C5C"/>
      <w:u w:val="none"/>
    </w:rPr>
  </w:style>
  <w:style w:type="character" w:styleId="54">
    <w:name w:val="HTML Code"/>
    <w:basedOn w:val="44"/>
    <w:semiHidden/>
    <w:unhideWhenUsed/>
    <w:qFormat/>
    <w:uiPriority w:val="99"/>
    <w:rPr>
      <w:rFonts w:hint="default"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semiHidden/>
    <w:unhideWhenUsed/>
    <w:qFormat/>
    <w:uiPriority w:val="99"/>
  </w:style>
  <w:style w:type="character" w:styleId="57">
    <w:name w:val="HTML Keyboard"/>
    <w:basedOn w:val="44"/>
    <w:semiHidden/>
    <w:unhideWhenUsed/>
    <w:qFormat/>
    <w:uiPriority w:val="99"/>
    <w:rPr>
      <w:rFonts w:hint="default" w:ascii="monospace" w:hAnsi="monospace" w:eastAsia="monospace" w:cs="monospace"/>
      <w:sz w:val="20"/>
    </w:rPr>
  </w:style>
  <w:style w:type="character" w:styleId="58">
    <w:name w:val="HTML Sample"/>
    <w:basedOn w:val="44"/>
    <w:semiHidden/>
    <w:unhideWhenUsed/>
    <w:qFormat/>
    <w:uiPriority w:val="99"/>
    <w:rPr>
      <w:rFonts w:ascii="monospace" w:hAnsi="monospace" w:eastAsia="monospace" w:cs="monospace"/>
    </w:rPr>
  </w:style>
  <w:style w:type="character" w:customStyle="1" w:styleId="59">
    <w:name w:val="页眉 Char"/>
    <w:basedOn w:val="44"/>
    <w:link w:val="28"/>
    <w:qFormat/>
    <w:uiPriority w:val="99"/>
    <w:rPr>
      <w:sz w:val="18"/>
      <w:szCs w:val="18"/>
    </w:rPr>
  </w:style>
  <w:style w:type="character" w:customStyle="1" w:styleId="60">
    <w:name w:val="页脚 Char"/>
    <w:basedOn w:val="44"/>
    <w:link w:val="27"/>
    <w:qFormat/>
    <w:uiPriority w:val="99"/>
    <w:rPr>
      <w:sz w:val="18"/>
      <w:szCs w:val="18"/>
    </w:rPr>
  </w:style>
  <w:style w:type="character" w:customStyle="1" w:styleId="61">
    <w:name w:val="标题 1 Char"/>
    <w:basedOn w:val="44"/>
    <w:link w:val="3"/>
    <w:qFormat/>
    <w:uiPriority w:val="9"/>
    <w:rPr>
      <w:rFonts w:ascii="宋体" w:hAnsi="宋体" w:eastAsia="黑体" w:cs="Times New Roman"/>
      <w:b/>
      <w:bCs/>
      <w:kern w:val="44"/>
      <w:sz w:val="28"/>
      <w:szCs w:val="44"/>
    </w:rPr>
  </w:style>
  <w:style w:type="character" w:customStyle="1" w:styleId="62">
    <w:name w:val="标题 2 Char"/>
    <w:basedOn w:val="44"/>
    <w:link w:val="6"/>
    <w:qFormat/>
    <w:uiPriority w:val="0"/>
    <w:rPr>
      <w:rFonts w:ascii="宋体" w:hAnsi="宋体" w:eastAsia="宋体" w:cs="Times New Roman"/>
      <w:b/>
      <w:bCs/>
      <w:kern w:val="0"/>
      <w:sz w:val="24"/>
      <w:szCs w:val="20"/>
    </w:rPr>
  </w:style>
  <w:style w:type="character" w:customStyle="1" w:styleId="63">
    <w:name w:val="标题 3 Char"/>
    <w:basedOn w:val="44"/>
    <w:link w:val="4"/>
    <w:qFormat/>
    <w:uiPriority w:val="9"/>
    <w:rPr>
      <w:rFonts w:ascii="Calibri" w:hAnsi="Calibri" w:eastAsia="宋体" w:cs="Times New Roman"/>
      <w:b/>
      <w:bCs/>
      <w:sz w:val="32"/>
      <w:szCs w:val="32"/>
    </w:rPr>
  </w:style>
  <w:style w:type="character" w:customStyle="1" w:styleId="64">
    <w:name w:val="标题 4 Char"/>
    <w:basedOn w:val="44"/>
    <w:link w:val="5"/>
    <w:qFormat/>
    <w:uiPriority w:val="0"/>
    <w:rPr>
      <w:rFonts w:ascii="Arial" w:hAnsi="Arial" w:eastAsia="黑体" w:cs="Times New Roman"/>
      <w:b/>
      <w:bCs/>
      <w:kern w:val="0"/>
      <w:sz w:val="28"/>
      <w:szCs w:val="28"/>
    </w:rPr>
  </w:style>
  <w:style w:type="character" w:customStyle="1" w:styleId="65">
    <w:name w:val="标题 5 Char"/>
    <w:basedOn w:val="44"/>
    <w:link w:val="7"/>
    <w:qFormat/>
    <w:uiPriority w:val="0"/>
    <w:rPr>
      <w:rFonts w:ascii="Times New Roman" w:hAnsi="Times New Roman" w:eastAsia="宋体" w:cs="Times New Roman"/>
      <w:b/>
      <w:kern w:val="0"/>
      <w:sz w:val="28"/>
      <w:szCs w:val="20"/>
    </w:rPr>
  </w:style>
  <w:style w:type="character" w:customStyle="1" w:styleId="66">
    <w:name w:val="标题 6 Char"/>
    <w:basedOn w:val="44"/>
    <w:link w:val="9"/>
    <w:qFormat/>
    <w:uiPriority w:val="0"/>
    <w:rPr>
      <w:rFonts w:ascii="Arial" w:hAnsi="Arial" w:eastAsia="黑体" w:cs="Times New Roman"/>
      <w:b/>
      <w:kern w:val="0"/>
      <w:sz w:val="24"/>
      <w:szCs w:val="20"/>
    </w:rPr>
  </w:style>
  <w:style w:type="character" w:customStyle="1" w:styleId="67">
    <w:name w:val="标题 7 Char"/>
    <w:basedOn w:val="44"/>
    <w:link w:val="10"/>
    <w:qFormat/>
    <w:uiPriority w:val="0"/>
    <w:rPr>
      <w:rFonts w:ascii="Times New Roman" w:hAnsi="Times New Roman" w:eastAsia="宋体" w:cs="Times New Roman"/>
      <w:b/>
      <w:kern w:val="0"/>
      <w:sz w:val="24"/>
      <w:szCs w:val="20"/>
    </w:rPr>
  </w:style>
  <w:style w:type="character" w:customStyle="1" w:styleId="68">
    <w:name w:val="标题 8 Char"/>
    <w:basedOn w:val="44"/>
    <w:link w:val="11"/>
    <w:qFormat/>
    <w:uiPriority w:val="0"/>
    <w:rPr>
      <w:rFonts w:ascii="Arial" w:hAnsi="Arial" w:eastAsia="黑体" w:cs="Times New Roman"/>
      <w:kern w:val="0"/>
      <w:sz w:val="24"/>
      <w:szCs w:val="20"/>
    </w:rPr>
  </w:style>
  <w:style w:type="character" w:customStyle="1" w:styleId="69">
    <w:name w:val="标题 9 Char"/>
    <w:basedOn w:val="44"/>
    <w:link w:val="12"/>
    <w:qFormat/>
    <w:uiPriority w:val="0"/>
    <w:rPr>
      <w:rFonts w:ascii="Arial" w:hAnsi="Arial" w:eastAsia="黑体" w:cs="Times New Roman"/>
      <w:kern w:val="0"/>
      <w:sz w:val="20"/>
      <w:szCs w:val="20"/>
    </w:rPr>
  </w:style>
  <w:style w:type="character" w:customStyle="1" w:styleId="70">
    <w:name w:val="标题 3 Char1"/>
    <w:link w:val="4"/>
    <w:qFormat/>
    <w:uiPriority w:val="0"/>
    <w:rPr>
      <w:rFonts w:ascii="宋体" w:hAnsi="宋体" w:eastAsia="宋体" w:cs="Times New Roman"/>
      <w:b/>
      <w:bCs/>
      <w:kern w:val="0"/>
      <w:sz w:val="28"/>
      <w:szCs w:val="32"/>
    </w:rPr>
  </w:style>
  <w:style w:type="character" w:customStyle="1" w:styleId="71">
    <w:name w:val="--规划正文 Char Char"/>
    <w:qFormat/>
    <w:uiPriority w:val="0"/>
    <w:rPr>
      <w:rFonts w:eastAsia="宋体"/>
      <w:kern w:val="2"/>
      <w:sz w:val="24"/>
      <w:szCs w:val="24"/>
      <w:lang w:val="en-US" w:eastAsia="zh-CN" w:bidi="ar-SA"/>
    </w:rPr>
  </w:style>
  <w:style w:type="character" w:customStyle="1" w:styleId="72">
    <w:name w:val="grame"/>
    <w:basedOn w:val="44"/>
    <w:qFormat/>
    <w:uiPriority w:val="0"/>
  </w:style>
  <w:style w:type="character" w:customStyle="1" w:styleId="73">
    <w:name w:val="font"/>
    <w:basedOn w:val="44"/>
    <w:qFormat/>
    <w:uiPriority w:val="0"/>
  </w:style>
  <w:style w:type="character" w:customStyle="1" w:styleId="74">
    <w:name w:val="font2"/>
    <w:basedOn w:val="44"/>
    <w:qFormat/>
    <w:uiPriority w:val="0"/>
  </w:style>
  <w:style w:type="character" w:customStyle="1" w:styleId="75">
    <w:name w:val="unnamed4"/>
    <w:basedOn w:val="44"/>
    <w:qFormat/>
    <w:uiPriority w:val="0"/>
  </w:style>
  <w:style w:type="character" w:customStyle="1" w:styleId="76">
    <w:name w:val="样式 小三 加粗"/>
    <w:qFormat/>
    <w:uiPriority w:val="0"/>
    <w:rPr>
      <w:rFonts w:eastAsia="宋体"/>
      <w:b/>
      <w:bCs/>
      <w:sz w:val="32"/>
    </w:rPr>
  </w:style>
  <w:style w:type="character" w:customStyle="1" w:styleId="77">
    <w:name w:val="z-窗体顶端 Char"/>
    <w:basedOn w:val="44"/>
    <w:qFormat/>
    <w:uiPriority w:val="0"/>
    <w:rPr>
      <w:rFonts w:ascii="Arial" w:hAnsi="Arial" w:eastAsia="宋体" w:cs="Times New Roman"/>
      <w:vanish/>
      <w:kern w:val="0"/>
      <w:sz w:val="16"/>
      <w:szCs w:val="16"/>
      <w:lang w:val="en-US" w:eastAsia="zh-CN"/>
    </w:rPr>
  </w:style>
  <w:style w:type="paragraph" w:customStyle="1" w:styleId="78">
    <w:name w:val="z-窗体顶端1"/>
    <w:basedOn w:val="1"/>
    <w:next w:val="1"/>
    <w:link w:val="188"/>
    <w:qFormat/>
    <w:uiPriority w:val="0"/>
    <w:pPr>
      <w:widowControl/>
      <w:pBdr>
        <w:bottom w:val="single" w:color="auto" w:sz="6" w:space="1"/>
      </w:pBdr>
      <w:jc w:val="center"/>
    </w:pPr>
    <w:rPr>
      <w:rFonts w:ascii="Arial" w:hAnsi="Arial"/>
      <w:vanish/>
      <w:kern w:val="0"/>
      <w:sz w:val="16"/>
      <w:szCs w:val="16"/>
    </w:rPr>
  </w:style>
  <w:style w:type="character" w:customStyle="1" w:styleId="79">
    <w:name w:val="批注文字 Char"/>
    <w:basedOn w:val="44"/>
    <w:link w:val="17"/>
    <w:qFormat/>
    <w:uiPriority w:val="0"/>
    <w:rPr>
      <w:rFonts w:ascii="宋体" w:hAnsi="Times New Roman" w:eastAsia="宋体" w:cs="Times New Roman"/>
      <w:kern w:val="0"/>
      <w:sz w:val="34"/>
      <w:szCs w:val="20"/>
    </w:rPr>
  </w:style>
  <w:style w:type="character" w:customStyle="1" w:styleId="80">
    <w:name w:val="标题 Char"/>
    <w:basedOn w:val="44"/>
    <w:link w:val="39"/>
    <w:qFormat/>
    <w:uiPriority w:val="0"/>
    <w:rPr>
      <w:rFonts w:ascii="Arial" w:hAnsi="Arial" w:eastAsia="隶书" w:cs="Times New Roman"/>
      <w:b/>
      <w:bCs/>
      <w:kern w:val="0"/>
      <w:sz w:val="32"/>
      <w:szCs w:val="32"/>
    </w:rPr>
  </w:style>
  <w:style w:type="character" w:customStyle="1" w:styleId="81">
    <w:name w:val="正文文本 Char"/>
    <w:basedOn w:val="44"/>
    <w:semiHidden/>
    <w:qFormat/>
    <w:uiPriority w:val="99"/>
    <w:rPr>
      <w:rFonts w:ascii="Calibri" w:hAnsi="Calibri" w:eastAsia="宋体" w:cs="Times New Roman"/>
    </w:rPr>
  </w:style>
  <w:style w:type="character" w:customStyle="1" w:styleId="82">
    <w:name w:val="正文缩进 Char"/>
    <w:link w:val="8"/>
    <w:qFormat/>
    <w:uiPriority w:val="0"/>
    <w:rPr>
      <w:rFonts w:ascii="Times New Roman" w:hAnsi="Times New Roman" w:eastAsia="宋体" w:cs="Times New Roman"/>
      <w:kern w:val="0"/>
      <w:sz w:val="20"/>
      <w:szCs w:val="20"/>
    </w:rPr>
  </w:style>
  <w:style w:type="character" w:customStyle="1" w:styleId="83">
    <w:name w:val="日期 Char"/>
    <w:basedOn w:val="44"/>
    <w:link w:val="24"/>
    <w:qFormat/>
    <w:uiPriority w:val="0"/>
    <w:rPr>
      <w:rFonts w:ascii="宋体" w:hAnsi="Courier New" w:eastAsia="宋体" w:cs="Times New Roman"/>
      <w:kern w:val="0"/>
      <w:sz w:val="32"/>
      <w:szCs w:val="20"/>
    </w:rPr>
  </w:style>
  <w:style w:type="character" w:customStyle="1" w:styleId="84">
    <w:name w:val="正文文字首行缩进 Char"/>
    <w:qFormat/>
    <w:uiPriority w:val="0"/>
    <w:rPr>
      <w:kern w:val="2"/>
      <w:sz w:val="21"/>
      <w:szCs w:val="24"/>
    </w:rPr>
  </w:style>
  <w:style w:type="character" w:customStyle="1" w:styleId="85">
    <w:name w:val="unnamed3"/>
    <w:basedOn w:val="44"/>
    <w:qFormat/>
    <w:uiPriority w:val="0"/>
  </w:style>
  <w:style w:type="character" w:customStyle="1" w:styleId="86">
    <w:name w:val="批注主题 Char"/>
    <w:basedOn w:val="79"/>
    <w:link w:val="40"/>
    <w:qFormat/>
    <w:uiPriority w:val="99"/>
    <w:rPr>
      <w:rFonts w:ascii="Times New Roman"/>
      <w:b/>
      <w:bCs/>
      <w:szCs w:val="24"/>
    </w:rPr>
  </w:style>
  <w:style w:type="character" w:customStyle="1" w:styleId="87">
    <w:name w:val="gray6"/>
    <w:basedOn w:val="44"/>
    <w:qFormat/>
    <w:uiPriority w:val="0"/>
  </w:style>
  <w:style w:type="character" w:customStyle="1" w:styleId="88">
    <w:name w:val="纯文本 Char"/>
    <w:basedOn w:val="44"/>
    <w:link w:val="22"/>
    <w:qFormat/>
    <w:uiPriority w:val="0"/>
    <w:rPr>
      <w:rFonts w:ascii="宋体" w:hAnsi="Courier New" w:eastAsia="宋体" w:cs="Times New Roman"/>
      <w:kern w:val="0"/>
      <w:sz w:val="20"/>
      <w:szCs w:val="20"/>
    </w:rPr>
  </w:style>
  <w:style w:type="character" w:customStyle="1" w:styleId="89">
    <w:name w:val="正文文本缩进 Char"/>
    <w:basedOn w:val="44"/>
    <w:link w:val="19"/>
    <w:qFormat/>
    <w:uiPriority w:val="0"/>
    <w:rPr>
      <w:rFonts w:ascii="Times New Roman" w:hAnsi="Times New Roman" w:eastAsia="宋体" w:cs="Times New Roman"/>
      <w:kern w:val="0"/>
      <w:sz w:val="20"/>
      <w:szCs w:val="24"/>
    </w:rPr>
  </w:style>
  <w:style w:type="character" w:customStyle="1" w:styleId="90">
    <w:name w:val="正文文本 2 Char"/>
    <w:basedOn w:val="44"/>
    <w:link w:val="35"/>
    <w:qFormat/>
    <w:uiPriority w:val="0"/>
    <w:rPr>
      <w:rFonts w:ascii="Times New Roman" w:hAnsi="Times New Roman" w:eastAsia="宋体" w:cs="Times New Roman"/>
      <w:kern w:val="0"/>
      <w:sz w:val="24"/>
      <w:szCs w:val="24"/>
    </w:rPr>
  </w:style>
  <w:style w:type="character" w:customStyle="1" w:styleId="91">
    <w:name w:val="标题 3 Char Char"/>
    <w:qFormat/>
    <w:uiPriority w:val="0"/>
    <w:rPr>
      <w:rFonts w:eastAsia="宋体"/>
      <w:b/>
      <w:bCs/>
      <w:kern w:val="2"/>
      <w:sz w:val="32"/>
      <w:szCs w:val="32"/>
      <w:lang w:val="en-US" w:eastAsia="zh-CN" w:bidi="ar-SA"/>
    </w:rPr>
  </w:style>
  <w:style w:type="character" w:customStyle="1" w:styleId="92">
    <w:name w:val="--规划正文 Char1"/>
    <w:qFormat/>
    <w:uiPriority w:val="0"/>
    <w:rPr>
      <w:rFonts w:eastAsia="宋体"/>
      <w:kern w:val="2"/>
      <w:sz w:val="21"/>
      <w:lang w:val="en-US" w:eastAsia="zh-CN" w:bidi="ar-SA"/>
    </w:rPr>
  </w:style>
  <w:style w:type="character" w:customStyle="1" w:styleId="93">
    <w:name w:val="正文首行缩进 Char"/>
    <w:basedOn w:val="81"/>
    <w:link w:val="41"/>
    <w:qFormat/>
    <w:uiPriority w:val="0"/>
    <w:rPr>
      <w:rFonts w:ascii="Times New Roman" w:hAnsi="Times New Roman"/>
      <w:b/>
      <w:bCs/>
      <w:kern w:val="0"/>
      <w:sz w:val="20"/>
      <w:szCs w:val="24"/>
      <w:lang w:val="en-US" w:eastAsia="zh-CN"/>
    </w:rPr>
  </w:style>
  <w:style w:type="character" w:customStyle="1" w:styleId="94">
    <w:name w:val="z-窗体底端 Char"/>
    <w:basedOn w:val="44"/>
    <w:qFormat/>
    <w:uiPriority w:val="0"/>
    <w:rPr>
      <w:rFonts w:ascii="Arial" w:hAnsi="Arial" w:eastAsia="宋体" w:cs="Times New Roman"/>
      <w:vanish/>
      <w:kern w:val="0"/>
      <w:sz w:val="16"/>
      <w:szCs w:val="16"/>
      <w:lang w:val="en-US" w:eastAsia="zh-CN"/>
    </w:rPr>
  </w:style>
  <w:style w:type="paragraph" w:customStyle="1" w:styleId="95">
    <w:name w:val="z-窗体底端1"/>
    <w:basedOn w:val="1"/>
    <w:next w:val="1"/>
    <w:link w:val="208"/>
    <w:qFormat/>
    <w:uiPriority w:val="0"/>
    <w:pPr>
      <w:widowControl/>
      <w:pBdr>
        <w:top w:val="single" w:color="auto" w:sz="6" w:space="1"/>
      </w:pBdr>
      <w:jc w:val="center"/>
    </w:pPr>
    <w:rPr>
      <w:rFonts w:ascii="Arial" w:hAnsi="Arial"/>
      <w:vanish/>
      <w:kern w:val="0"/>
      <w:sz w:val="16"/>
      <w:szCs w:val="16"/>
    </w:rPr>
  </w:style>
  <w:style w:type="character" w:customStyle="1" w:styleId="96">
    <w:name w:val="HTML 预设格式 Char"/>
    <w:basedOn w:val="44"/>
    <w:link w:val="36"/>
    <w:qFormat/>
    <w:uiPriority w:val="0"/>
    <w:rPr>
      <w:rFonts w:ascii="Arial Unicode MS" w:hAnsi="Arial Unicode MS" w:eastAsia="Arial Unicode MS" w:cs="Times New Roman"/>
      <w:color w:val="000000"/>
      <w:kern w:val="0"/>
      <w:sz w:val="20"/>
      <w:szCs w:val="20"/>
    </w:rPr>
  </w:style>
  <w:style w:type="character" w:customStyle="1" w:styleId="97">
    <w:name w:val="H4 Char2"/>
    <w:qFormat/>
    <w:uiPriority w:val="0"/>
    <w:rPr>
      <w:rFonts w:ascii="Arial" w:hAnsi="Arial" w:eastAsia="黑体"/>
      <w:b/>
      <w:bCs/>
      <w:kern w:val="2"/>
      <w:sz w:val="28"/>
      <w:szCs w:val="28"/>
      <w:lang w:val="en-US" w:eastAsia="zh-CN" w:bidi="ar-SA"/>
    </w:rPr>
  </w:style>
  <w:style w:type="character" w:customStyle="1" w:styleId="98">
    <w:name w:val="正文文本 Char1"/>
    <w:link w:val="2"/>
    <w:qFormat/>
    <w:uiPriority w:val="0"/>
    <w:rPr>
      <w:rFonts w:ascii="Times New Roman" w:hAnsi="Times New Roman" w:eastAsia="宋体" w:cs="Times New Roman"/>
      <w:b/>
      <w:bCs/>
      <w:kern w:val="0"/>
      <w:sz w:val="24"/>
      <w:szCs w:val="24"/>
    </w:rPr>
  </w:style>
  <w:style w:type="character" w:customStyle="1" w:styleId="99">
    <w:name w:val="body text Char1"/>
    <w:qFormat/>
    <w:uiPriority w:val="0"/>
    <w:rPr>
      <w:rFonts w:eastAsia="宋体"/>
      <w:kern w:val="2"/>
      <w:sz w:val="21"/>
      <w:lang w:val="en-US" w:eastAsia="zh-CN" w:bidi="ar-SA"/>
    </w:rPr>
  </w:style>
  <w:style w:type="character" w:customStyle="1" w:styleId="100">
    <w:name w:val="文档结构图 Char"/>
    <w:basedOn w:val="44"/>
    <w:link w:val="16"/>
    <w:semiHidden/>
    <w:qFormat/>
    <w:uiPriority w:val="0"/>
    <w:rPr>
      <w:rFonts w:ascii="Times New Roman" w:hAnsi="Times New Roman" w:eastAsia="宋体" w:cs="Times New Roman"/>
      <w:kern w:val="0"/>
      <w:sz w:val="20"/>
      <w:szCs w:val="24"/>
      <w:shd w:val="clear" w:color="auto" w:fill="000080"/>
    </w:rPr>
  </w:style>
  <w:style w:type="character" w:customStyle="1" w:styleId="101">
    <w:name w:val="正文文本 3 Char"/>
    <w:basedOn w:val="44"/>
    <w:link w:val="18"/>
    <w:qFormat/>
    <w:uiPriority w:val="0"/>
    <w:rPr>
      <w:rFonts w:ascii="Times New Roman" w:hAnsi="Times New Roman" w:eastAsia="宋体" w:cs="Times New Roman"/>
      <w:kern w:val="0"/>
      <w:sz w:val="16"/>
      <w:szCs w:val="16"/>
    </w:rPr>
  </w:style>
  <w:style w:type="character" w:customStyle="1" w:styleId="102">
    <w:name w:val="blue"/>
    <w:basedOn w:val="44"/>
    <w:qFormat/>
    <w:uiPriority w:val="0"/>
  </w:style>
  <w:style w:type="character" w:customStyle="1" w:styleId="103">
    <w:name w:val="proddescription"/>
    <w:basedOn w:val="44"/>
    <w:qFormat/>
    <w:uiPriority w:val="0"/>
  </w:style>
  <w:style w:type="character" w:customStyle="1" w:styleId="104">
    <w:name w:val="缩进正文 Char"/>
    <w:link w:val="105"/>
    <w:qFormat/>
    <w:uiPriority w:val="0"/>
    <w:rPr>
      <w:rFonts w:ascii="Times New Roman" w:hAnsi="Times New Roman" w:eastAsia="仿宋_GB2312" w:cs="Times New Roman"/>
      <w:kern w:val="0"/>
      <w:sz w:val="28"/>
      <w:szCs w:val="20"/>
    </w:rPr>
  </w:style>
  <w:style w:type="paragraph" w:customStyle="1" w:styleId="105">
    <w:name w:val="缩进正文"/>
    <w:basedOn w:val="1"/>
    <w:link w:val="104"/>
    <w:qFormat/>
    <w:uiPriority w:val="0"/>
    <w:pPr>
      <w:ind w:firstLine="560" w:firstLineChars="200"/>
    </w:pPr>
    <w:rPr>
      <w:rFonts w:ascii="Times New Roman" w:hAnsi="Times New Roman" w:eastAsia="仿宋_GB2312"/>
      <w:kern w:val="0"/>
      <w:sz w:val="28"/>
      <w:szCs w:val="20"/>
    </w:rPr>
  </w:style>
  <w:style w:type="character" w:customStyle="1" w:styleId="106">
    <w:name w:val="style9"/>
    <w:basedOn w:val="44"/>
    <w:qFormat/>
    <w:uiPriority w:val="0"/>
  </w:style>
  <w:style w:type="character" w:customStyle="1" w:styleId="107">
    <w:name w:val="prodheadlines"/>
    <w:basedOn w:val="44"/>
    <w:qFormat/>
    <w:uiPriority w:val="0"/>
  </w:style>
  <w:style w:type="character" w:customStyle="1" w:styleId="108">
    <w:name w:val="content1"/>
    <w:qFormat/>
    <w:uiPriority w:val="0"/>
    <w:rPr>
      <w:rFonts w:hint="default" w:ascii="??" w:hAnsi="??"/>
      <w:sz w:val="16"/>
      <w:szCs w:val="16"/>
      <w:u w:val="none"/>
    </w:rPr>
  </w:style>
  <w:style w:type="character" w:customStyle="1" w:styleId="109">
    <w:name w:val="正文文本缩进 3 Char"/>
    <w:basedOn w:val="44"/>
    <w:link w:val="32"/>
    <w:qFormat/>
    <w:uiPriority w:val="0"/>
    <w:rPr>
      <w:rFonts w:ascii="宋体" w:hAnsi="Times New Roman" w:eastAsia="宋体" w:cs="Times New Roman"/>
      <w:b/>
      <w:bCs/>
      <w:kern w:val="0"/>
      <w:sz w:val="24"/>
      <w:szCs w:val="24"/>
    </w:rPr>
  </w:style>
  <w:style w:type="character" w:customStyle="1" w:styleId="110">
    <w:name w:val="章标题1 Char"/>
    <w:qFormat/>
    <w:uiPriority w:val="0"/>
    <w:rPr>
      <w:rFonts w:eastAsia="宋体"/>
      <w:b/>
      <w:bCs/>
      <w:kern w:val="2"/>
      <w:sz w:val="32"/>
      <w:szCs w:val="32"/>
      <w:lang w:val="en-US" w:eastAsia="zh-CN" w:bidi="ar-SA"/>
    </w:rPr>
  </w:style>
  <w:style w:type="character" w:customStyle="1" w:styleId="111">
    <w:name w:val="font41"/>
    <w:qFormat/>
    <w:uiPriority w:val="0"/>
    <w:rPr>
      <w:color w:val="000000"/>
      <w:spacing w:val="260"/>
      <w:sz w:val="18"/>
      <w:szCs w:val="18"/>
      <w:u w:val="none"/>
    </w:rPr>
  </w:style>
  <w:style w:type="character" w:customStyle="1" w:styleId="112">
    <w:name w:val="alt-edited1"/>
    <w:qFormat/>
    <w:uiPriority w:val="0"/>
    <w:rPr>
      <w:color w:val="4D90F0"/>
    </w:rPr>
  </w:style>
  <w:style w:type="character" w:customStyle="1" w:styleId="113">
    <w:name w:val="info4"/>
    <w:basedOn w:val="44"/>
    <w:qFormat/>
    <w:uiPriority w:val="0"/>
  </w:style>
  <w:style w:type="character" w:customStyle="1" w:styleId="114">
    <w:name w:val="第*章 Char"/>
    <w:qFormat/>
    <w:uiPriority w:val="0"/>
    <w:rPr>
      <w:rFonts w:ascii="Arial" w:hAnsi="Arial" w:eastAsia="黑体"/>
      <w:b/>
      <w:bCs/>
      <w:kern w:val="2"/>
      <w:sz w:val="32"/>
      <w:szCs w:val="32"/>
    </w:rPr>
  </w:style>
  <w:style w:type="character" w:customStyle="1" w:styleId="115">
    <w:name w:val="text"/>
    <w:basedOn w:val="44"/>
    <w:qFormat/>
    <w:uiPriority w:val="0"/>
  </w:style>
  <w:style w:type="character" w:customStyle="1" w:styleId="116">
    <w:name w:val="正文文本缩进 2 Char"/>
    <w:basedOn w:val="44"/>
    <w:link w:val="25"/>
    <w:qFormat/>
    <w:uiPriority w:val="0"/>
    <w:rPr>
      <w:rFonts w:ascii="宋体" w:hAnsi="宋体" w:eastAsia="宋体" w:cs="Times New Roman"/>
      <w:kern w:val="0"/>
      <w:sz w:val="20"/>
      <w:szCs w:val="24"/>
    </w:rPr>
  </w:style>
  <w:style w:type="character" w:customStyle="1" w:styleId="117">
    <w:name w:val="font11"/>
    <w:qFormat/>
    <w:uiPriority w:val="0"/>
    <w:rPr>
      <w:rFonts w:hint="default" w:ascii="ˎ̥" w:hAnsi="ˎ̥"/>
    </w:rPr>
  </w:style>
  <w:style w:type="character" w:customStyle="1" w:styleId="118">
    <w:name w:val="批注框文本 Char"/>
    <w:basedOn w:val="44"/>
    <w:link w:val="26"/>
    <w:qFormat/>
    <w:uiPriority w:val="99"/>
    <w:rPr>
      <w:rFonts w:ascii="Times New Roman" w:hAnsi="Times New Roman" w:eastAsia="宋体" w:cs="Times New Roman"/>
      <w:kern w:val="0"/>
      <w:sz w:val="18"/>
      <w:szCs w:val="18"/>
    </w:rPr>
  </w:style>
  <w:style w:type="character" w:customStyle="1" w:styleId="119">
    <w:name w:val="mode"/>
    <w:basedOn w:val="44"/>
    <w:qFormat/>
    <w:uiPriority w:val="0"/>
  </w:style>
  <w:style w:type="character" w:customStyle="1" w:styleId="120">
    <w:name w:val="正文文本 3 Char1"/>
    <w:basedOn w:val="44"/>
    <w:link w:val="18"/>
    <w:semiHidden/>
    <w:qFormat/>
    <w:uiPriority w:val="99"/>
    <w:rPr>
      <w:rFonts w:ascii="Calibri" w:hAnsi="Calibri" w:eastAsia="宋体" w:cs="Times New Roman"/>
      <w:sz w:val="16"/>
      <w:szCs w:val="16"/>
    </w:rPr>
  </w:style>
  <w:style w:type="character" w:customStyle="1" w:styleId="121">
    <w:name w:val="纯文本 Char1"/>
    <w:basedOn w:val="44"/>
    <w:link w:val="22"/>
    <w:semiHidden/>
    <w:qFormat/>
    <w:uiPriority w:val="99"/>
    <w:rPr>
      <w:rFonts w:ascii="宋体" w:hAnsi="Courier New" w:eastAsia="宋体" w:cs="Courier New"/>
      <w:szCs w:val="21"/>
    </w:rPr>
  </w:style>
  <w:style w:type="character" w:customStyle="1" w:styleId="122">
    <w:name w:val="文档结构图 Char1"/>
    <w:basedOn w:val="44"/>
    <w:link w:val="16"/>
    <w:semiHidden/>
    <w:qFormat/>
    <w:uiPriority w:val="99"/>
    <w:rPr>
      <w:rFonts w:ascii="宋体" w:hAnsi="Calibri" w:eastAsia="宋体" w:cs="Times New Roman"/>
      <w:sz w:val="18"/>
      <w:szCs w:val="18"/>
    </w:rPr>
  </w:style>
  <w:style w:type="character" w:customStyle="1" w:styleId="123">
    <w:name w:val="日期 Char1"/>
    <w:basedOn w:val="44"/>
    <w:link w:val="24"/>
    <w:semiHidden/>
    <w:qFormat/>
    <w:uiPriority w:val="99"/>
    <w:rPr>
      <w:rFonts w:ascii="Calibri" w:hAnsi="Calibri" w:eastAsia="宋体" w:cs="Times New Roman"/>
    </w:rPr>
  </w:style>
  <w:style w:type="character" w:customStyle="1" w:styleId="124">
    <w:name w:val="正文文本 Char2"/>
    <w:basedOn w:val="44"/>
    <w:link w:val="2"/>
    <w:semiHidden/>
    <w:qFormat/>
    <w:uiPriority w:val="99"/>
    <w:rPr>
      <w:rFonts w:ascii="Calibri" w:hAnsi="Calibri" w:eastAsia="宋体" w:cs="Times New Roman"/>
    </w:rPr>
  </w:style>
  <w:style w:type="character" w:customStyle="1" w:styleId="125">
    <w:name w:val="正文文本缩进 Char1"/>
    <w:basedOn w:val="44"/>
    <w:link w:val="19"/>
    <w:semiHidden/>
    <w:qFormat/>
    <w:uiPriority w:val="99"/>
    <w:rPr>
      <w:rFonts w:ascii="Calibri" w:hAnsi="Calibri" w:eastAsia="宋体" w:cs="Times New Roman"/>
    </w:rPr>
  </w:style>
  <w:style w:type="character" w:customStyle="1" w:styleId="126">
    <w:name w:val="批注文字 Char1"/>
    <w:basedOn w:val="44"/>
    <w:link w:val="17"/>
    <w:semiHidden/>
    <w:qFormat/>
    <w:uiPriority w:val="99"/>
    <w:rPr>
      <w:rFonts w:ascii="Calibri" w:hAnsi="Calibri" w:eastAsia="宋体" w:cs="Times New Roman"/>
    </w:rPr>
  </w:style>
  <w:style w:type="character" w:customStyle="1" w:styleId="127">
    <w:name w:val="HTML 预设格式 Char1"/>
    <w:basedOn w:val="44"/>
    <w:link w:val="36"/>
    <w:semiHidden/>
    <w:qFormat/>
    <w:uiPriority w:val="99"/>
    <w:rPr>
      <w:rFonts w:ascii="Courier New" w:hAnsi="Courier New" w:eastAsia="宋体" w:cs="Courier New"/>
      <w:sz w:val="20"/>
      <w:szCs w:val="20"/>
    </w:rPr>
  </w:style>
  <w:style w:type="character" w:customStyle="1" w:styleId="128">
    <w:name w:val="正文文本缩进 2 Char1"/>
    <w:basedOn w:val="44"/>
    <w:link w:val="25"/>
    <w:semiHidden/>
    <w:qFormat/>
    <w:uiPriority w:val="99"/>
    <w:rPr>
      <w:rFonts w:ascii="Calibri" w:hAnsi="Calibri" w:eastAsia="宋体" w:cs="Times New Roman"/>
    </w:rPr>
  </w:style>
  <w:style w:type="character" w:customStyle="1" w:styleId="129">
    <w:name w:val="正文文本 2 Char1"/>
    <w:basedOn w:val="44"/>
    <w:link w:val="35"/>
    <w:semiHidden/>
    <w:qFormat/>
    <w:uiPriority w:val="99"/>
    <w:rPr>
      <w:rFonts w:ascii="Calibri" w:hAnsi="Calibri" w:eastAsia="宋体" w:cs="Times New Roman"/>
    </w:rPr>
  </w:style>
  <w:style w:type="character" w:customStyle="1" w:styleId="130">
    <w:name w:val="批注框文本 Char1"/>
    <w:basedOn w:val="44"/>
    <w:link w:val="26"/>
    <w:semiHidden/>
    <w:qFormat/>
    <w:uiPriority w:val="99"/>
    <w:rPr>
      <w:rFonts w:ascii="Calibri" w:hAnsi="Calibri" w:eastAsia="宋体" w:cs="Times New Roman"/>
      <w:sz w:val="18"/>
      <w:szCs w:val="18"/>
    </w:rPr>
  </w:style>
  <w:style w:type="character" w:customStyle="1" w:styleId="131">
    <w:name w:val="正文文本缩进 3 Char1"/>
    <w:basedOn w:val="44"/>
    <w:link w:val="32"/>
    <w:semiHidden/>
    <w:qFormat/>
    <w:uiPriority w:val="99"/>
    <w:rPr>
      <w:rFonts w:ascii="Calibri" w:hAnsi="Calibri" w:eastAsia="宋体" w:cs="Times New Roman"/>
      <w:sz w:val="16"/>
      <w:szCs w:val="16"/>
    </w:rPr>
  </w:style>
  <w:style w:type="character" w:customStyle="1" w:styleId="132">
    <w:name w:val="标题 Char1"/>
    <w:basedOn w:val="44"/>
    <w:link w:val="39"/>
    <w:qFormat/>
    <w:uiPriority w:val="10"/>
    <w:rPr>
      <w:rFonts w:eastAsia="宋体" w:asciiTheme="majorHAnsi" w:hAnsiTheme="majorHAnsi" w:cstheme="majorBidi"/>
      <w:b/>
      <w:bCs/>
      <w:sz w:val="32"/>
      <w:szCs w:val="32"/>
    </w:rPr>
  </w:style>
  <w:style w:type="character" w:customStyle="1" w:styleId="133">
    <w:name w:val="批注主题 Char1"/>
    <w:basedOn w:val="126"/>
    <w:link w:val="40"/>
    <w:semiHidden/>
    <w:qFormat/>
    <w:uiPriority w:val="99"/>
    <w:rPr>
      <w:b/>
      <w:bCs/>
    </w:rPr>
  </w:style>
  <w:style w:type="character" w:customStyle="1" w:styleId="134">
    <w:name w:val="正文首行缩进 Char1"/>
    <w:basedOn w:val="124"/>
    <w:link w:val="41"/>
    <w:semiHidden/>
    <w:qFormat/>
    <w:uiPriority w:val="99"/>
  </w:style>
  <w:style w:type="paragraph" w:customStyle="1" w:styleId="13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36">
    <w:name w:val="编号1"/>
    <w:basedOn w:val="1"/>
    <w:qFormat/>
    <w:uiPriority w:val="0"/>
    <w:pPr>
      <w:tabs>
        <w:tab w:val="left" w:pos="360"/>
      </w:tabs>
      <w:adjustRightInd w:val="0"/>
      <w:spacing w:line="300" w:lineRule="auto"/>
      <w:ind w:left="360" w:right="210" w:hanging="360"/>
      <w:textAlignment w:val="center"/>
    </w:pPr>
    <w:rPr>
      <w:rFonts w:ascii="宋体" w:hAnsi="宋体"/>
      <w:snapToGrid w:val="0"/>
      <w:spacing w:val="10"/>
      <w:kern w:val="24"/>
      <w:szCs w:val="24"/>
    </w:rPr>
  </w:style>
  <w:style w:type="paragraph" w:customStyle="1" w:styleId="137">
    <w:name w:val="--规划正文"/>
    <w:basedOn w:val="1"/>
    <w:qFormat/>
    <w:uiPriority w:val="0"/>
    <w:pPr>
      <w:spacing w:line="360" w:lineRule="auto"/>
      <w:ind w:firstLine="200" w:firstLineChars="200"/>
    </w:pPr>
    <w:rPr>
      <w:rFonts w:ascii="Times New Roman" w:hAnsi="Times New Roman"/>
      <w:szCs w:val="20"/>
    </w:rPr>
  </w:style>
  <w:style w:type="paragraph" w:customStyle="1" w:styleId="13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9"/>
    <w:basedOn w:val="1"/>
    <w:next w:val="8"/>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42">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4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44">
    <w:name w:val="blu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5">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46">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paragraph" w:customStyle="1" w:styleId="147">
    <w:name w:val="RFI text from 3rd Level"/>
    <w:basedOn w:val="1"/>
    <w:qFormat/>
    <w:uiPriority w:val="0"/>
    <w:pPr>
      <w:widowControl/>
      <w:tabs>
        <w:tab w:val="left" w:pos="1080"/>
      </w:tabs>
      <w:spacing w:beforeLines="50" w:line="360" w:lineRule="auto"/>
    </w:pPr>
    <w:rPr>
      <w:rFonts w:ascii="Arial (W1)" w:hAnsi="Arial (W1)"/>
      <w:bCs/>
      <w:kern w:val="0"/>
      <w:sz w:val="24"/>
      <w:szCs w:val="24"/>
      <w:lang w:val="en-GB"/>
    </w:rPr>
  </w:style>
  <w:style w:type="paragraph" w:customStyle="1" w:styleId="148">
    <w:name w:val="列出段落1"/>
    <w:basedOn w:val="1"/>
    <w:link w:val="222"/>
    <w:qFormat/>
    <w:uiPriority w:val="0"/>
    <w:pPr>
      <w:ind w:firstLine="420" w:firstLineChars="200"/>
    </w:pPr>
    <w:rPr>
      <w:rFonts w:cs="Calibri"/>
      <w:szCs w:val="21"/>
    </w:rPr>
  </w:style>
  <w:style w:type="paragraph" w:customStyle="1" w:styleId="149">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50">
    <w:name w:val="_Style 28"/>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1">
    <w:name w:val="设计依据"/>
    <w:basedOn w:val="2"/>
    <w:qFormat/>
    <w:uiPriority w:val="0"/>
    <w:pPr>
      <w:tabs>
        <w:tab w:val="left" w:pos="1440"/>
      </w:tabs>
      <w:adjustRightInd w:val="0"/>
      <w:ind w:left="1440" w:hanging="420"/>
      <w:textAlignment w:val="baseline"/>
    </w:pPr>
    <w:rPr>
      <w:rFonts w:ascii="宋体" w:hAnsi="宋体"/>
      <w:b w:val="0"/>
      <w:sz w:val="28"/>
      <w:szCs w:val="18"/>
    </w:rPr>
  </w:style>
  <w:style w:type="paragraph" w:styleId="152">
    <w:name w:val="List Paragraph"/>
    <w:basedOn w:val="1"/>
    <w:qFormat/>
    <w:uiPriority w:val="34"/>
    <w:pPr>
      <w:ind w:firstLine="420" w:firstLineChars="200"/>
    </w:pPr>
  </w:style>
  <w:style w:type="paragraph" w:customStyle="1" w:styleId="15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4">
    <w:name w:val="--规划-小标题"/>
    <w:basedOn w:val="1"/>
    <w:next w:val="137"/>
    <w:qFormat/>
    <w:uiPriority w:val="0"/>
    <w:pPr>
      <w:keepNext/>
      <w:keepLines/>
      <w:spacing w:line="360" w:lineRule="auto"/>
      <w:outlineLvl w:val="4"/>
    </w:pPr>
    <w:rPr>
      <w:rFonts w:ascii="Times New Roman" w:hAnsi="Times New Roman" w:eastAsia="黑体"/>
      <w:szCs w:val="24"/>
    </w:rPr>
  </w:style>
  <w:style w:type="paragraph" w:customStyle="1" w:styleId="155">
    <w:name w:val="自定义正文"/>
    <w:basedOn w:val="1"/>
    <w:qFormat/>
    <w:uiPriority w:val="0"/>
    <w:pPr>
      <w:spacing w:afterLines="50"/>
      <w:ind w:left="600" w:leftChars="600"/>
    </w:pPr>
    <w:rPr>
      <w:rFonts w:ascii="Times New Roman" w:hAnsi="Times New Roman"/>
      <w:szCs w:val="24"/>
    </w:rPr>
  </w:style>
  <w:style w:type="paragraph" w:customStyle="1" w:styleId="156">
    <w:name w:val="段落正文"/>
    <w:basedOn w:val="22"/>
    <w:qFormat/>
    <w:uiPriority w:val="0"/>
    <w:pPr>
      <w:ind w:firstLine="560" w:firstLineChars="200"/>
    </w:pPr>
    <w:rPr>
      <w:sz w:val="28"/>
    </w:rPr>
  </w:style>
  <w:style w:type="paragraph" w:customStyle="1" w:styleId="157">
    <w:name w:val="封面文档标题"/>
    <w:basedOn w:val="1"/>
    <w:qFormat/>
    <w:uiPriority w:val="0"/>
    <w:pPr>
      <w:autoSpaceDE w:val="0"/>
      <w:autoSpaceDN w:val="0"/>
      <w:adjustRightInd w:val="0"/>
      <w:spacing w:line="360" w:lineRule="auto"/>
      <w:jc w:val="center"/>
    </w:pPr>
    <w:rPr>
      <w:rFonts w:ascii="Arial" w:hAnsi="Arial"/>
      <w:b/>
      <w:kern w:val="0"/>
      <w:sz w:val="56"/>
      <w:szCs w:val="24"/>
    </w:rPr>
  </w:style>
  <w:style w:type="paragraph" w:customStyle="1" w:styleId="158">
    <w:name w:val="--规划-表格-居中"/>
    <w:basedOn w:val="137"/>
    <w:qFormat/>
    <w:uiPriority w:val="0"/>
    <w:pPr>
      <w:spacing w:line="240" w:lineRule="auto"/>
      <w:ind w:firstLine="0" w:firstLineChars="0"/>
      <w:jc w:val="center"/>
    </w:pPr>
    <w:rPr>
      <w:sz w:val="20"/>
    </w:rPr>
  </w:style>
  <w:style w:type="paragraph" w:customStyle="1" w:styleId="1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Normal Paragraph"/>
    <w:basedOn w:val="1"/>
    <w:qFormat/>
    <w:uiPriority w:val="0"/>
    <w:pPr>
      <w:widowControl/>
      <w:spacing w:before="120" w:line="360" w:lineRule="auto"/>
      <w:ind w:firstLine="425"/>
    </w:pPr>
    <w:rPr>
      <w:rFonts w:ascii="Times New Roman" w:hAnsi="Times New Roman"/>
      <w:kern w:val="0"/>
      <w:sz w:val="24"/>
      <w:szCs w:val="24"/>
    </w:rPr>
  </w:style>
  <w:style w:type="paragraph" w:customStyle="1" w:styleId="161">
    <w:name w:val="正文文字缩进项目"/>
    <w:basedOn w:val="19"/>
    <w:qFormat/>
    <w:uiPriority w:val="0"/>
    <w:pPr>
      <w:tabs>
        <w:tab w:val="left" w:pos="840"/>
      </w:tabs>
      <w:spacing w:after="120" w:line="240" w:lineRule="auto"/>
      <w:ind w:left="840" w:firstLine="0" w:firstLineChars="0"/>
    </w:pPr>
    <w:rPr>
      <w:rFonts w:ascii="Tahoma" w:hAnsi="Tahoma"/>
      <w:sz w:val="22"/>
      <w:szCs w:val="20"/>
    </w:rPr>
  </w:style>
  <w:style w:type="paragraph" w:customStyle="1" w:styleId="162">
    <w:name w:val="小标题 1"/>
    <w:basedOn w:val="1"/>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163">
    <w:name w:val="样式2"/>
    <w:basedOn w:val="39"/>
    <w:next w:val="164"/>
    <w:qFormat/>
    <w:uiPriority w:val="0"/>
    <w:pPr>
      <w:spacing w:before="120" w:after="120"/>
    </w:pPr>
    <w:rPr>
      <w:rFonts w:eastAsia="黑体"/>
      <w:b w:val="0"/>
      <w:sz w:val="30"/>
      <w:szCs w:val="30"/>
    </w:rPr>
  </w:style>
  <w:style w:type="paragraph" w:customStyle="1" w:styleId="164">
    <w:name w:val="样式1"/>
    <w:basedOn w:val="39"/>
    <w:qFormat/>
    <w:uiPriority w:val="0"/>
    <w:pPr>
      <w:spacing w:before="120" w:after="120"/>
    </w:pPr>
    <w:rPr>
      <w:rFonts w:eastAsia="黑体"/>
      <w:b w:val="0"/>
      <w:sz w:val="30"/>
      <w:szCs w:val="21"/>
    </w:rPr>
  </w:style>
  <w:style w:type="paragraph" w:customStyle="1" w:styleId="165">
    <w:name w:val="样式41"/>
    <w:basedOn w:val="1"/>
    <w:qFormat/>
    <w:uiPriority w:val="0"/>
    <w:pPr>
      <w:tabs>
        <w:tab w:val="left" w:pos="945"/>
        <w:tab w:val="left" w:pos="2040"/>
      </w:tabs>
      <w:spacing w:line="360" w:lineRule="auto"/>
      <w:ind w:left="2040" w:hanging="360"/>
    </w:pPr>
    <w:rPr>
      <w:rFonts w:ascii="Times New Roman" w:hAnsi="Times New Roman"/>
      <w:b/>
      <w:color w:val="000000"/>
      <w:sz w:val="24"/>
      <w:szCs w:val="20"/>
    </w:rPr>
  </w:style>
  <w:style w:type="paragraph" w:customStyle="1" w:styleId="166">
    <w:name w:val="Char Char"/>
    <w:basedOn w:val="1"/>
    <w:qFormat/>
    <w:uiPriority w:val="0"/>
    <w:rPr>
      <w:rFonts w:ascii="Tahoma" w:hAnsi="Tahoma"/>
      <w:sz w:val="24"/>
      <w:szCs w:val="20"/>
    </w:rPr>
  </w:style>
  <w:style w:type="paragraph" w:customStyle="1" w:styleId="16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Char Char Char Char Char"/>
    <w:basedOn w:val="1"/>
    <w:qFormat/>
    <w:uiPriority w:val="0"/>
    <w:rPr>
      <w:rFonts w:ascii="Tahoma" w:hAnsi="Tahoma"/>
      <w:sz w:val="24"/>
      <w:szCs w:val="20"/>
    </w:rPr>
  </w:style>
  <w:style w:type="paragraph" w:customStyle="1" w:styleId="170">
    <w:name w:val="文档正文"/>
    <w:basedOn w:val="1"/>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171">
    <w:name w:val="USE 1"/>
    <w:basedOn w:val="1"/>
    <w:qFormat/>
    <w:uiPriority w:val="0"/>
    <w:pPr>
      <w:spacing w:line="200" w:lineRule="atLeast"/>
      <w:jc w:val="left"/>
    </w:pPr>
    <w:rPr>
      <w:rFonts w:ascii="宋体" w:hAnsi="宋体"/>
      <w:b/>
      <w:sz w:val="24"/>
      <w:szCs w:val="28"/>
    </w:rPr>
  </w:style>
  <w:style w:type="paragraph" w:customStyle="1" w:styleId="172">
    <w:name w:val="--编号内缩进"/>
    <w:basedOn w:val="1"/>
    <w:qFormat/>
    <w:uiPriority w:val="0"/>
    <w:pPr>
      <w:spacing w:line="360" w:lineRule="auto"/>
      <w:ind w:left="420" w:firstLine="200" w:firstLineChars="200"/>
    </w:pPr>
    <w:rPr>
      <w:rFonts w:ascii="Times New Roman" w:hAnsi="Times New Roman"/>
      <w:szCs w:val="21"/>
    </w:rPr>
  </w:style>
  <w:style w:type="paragraph" w:customStyle="1" w:styleId="173">
    <w:name w:val="图"/>
    <w:basedOn w:val="1"/>
    <w:qFormat/>
    <w:uiPriority w:val="99"/>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174">
    <w:name w:val="È±Ê¡ÎÄ±¾"/>
    <w:basedOn w:val="1"/>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75">
    <w:name w:val="6"/>
    <w:basedOn w:val="149"/>
    <w:qFormat/>
    <w:uiPriority w:val="0"/>
    <w:pPr>
      <w:spacing w:line="270" w:lineRule="atLeast"/>
      <w:jc w:val="both"/>
    </w:pPr>
    <w:rPr>
      <w:b w:val="0"/>
      <w:bCs w:val="0"/>
    </w:rPr>
  </w:style>
  <w:style w:type="paragraph" w:customStyle="1" w:styleId="1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77">
    <w:name w:val="2册标题4"/>
    <w:basedOn w:val="1"/>
    <w:next w:val="1"/>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78">
    <w:name w:val="--规划-表格-居左"/>
    <w:basedOn w:val="137"/>
    <w:qFormat/>
    <w:uiPriority w:val="0"/>
    <w:pPr>
      <w:spacing w:line="240" w:lineRule="auto"/>
      <w:ind w:firstLine="0" w:firstLineChars="0"/>
    </w:pPr>
    <w:rPr>
      <w:sz w:val="20"/>
    </w:rPr>
  </w:style>
  <w:style w:type="paragraph" w:customStyle="1" w:styleId="17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80">
    <w:name w:val="方案要点"/>
    <w:basedOn w:val="1"/>
    <w:qFormat/>
    <w:uiPriority w:val="0"/>
    <w:pPr>
      <w:tabs>
        <w:tab w:val="left" w:pos="420"/>
      </w:tabs>
      <w:spacing w:line="360" w:lineRule="auto"/>
      <w:ind w:left="420" w:hanging="420"/>
    </w:pPr>
    <w:rPr>
      <w:rFonts w:ascii="仿宋_GB2312" w:hAnsi="宋体" w:eastAsia="仿宋_GB2312"/>
      <w:color w:val="000000"/>
      <w:sz w:val="28"/>
      <w:szCs w:val="28"/>
    </w:rPr>
  </w:style>
  <w:style w:type="paragraph" w:customStyle="1" w:styleId="181">
    <w:name w:val="--规划-图和表"/>
    <w:next w:val="137"/>
    <w:qFormat/>
    <w:uiPriority w:val="0"/>
    <w:pPr>
      <w:jc w:val="center"/>
    </w:pPr>
    <w:rPr>
      <w:rFonts w:ascii="Times New Roman" w:hAnsi="Times New Roman" w:eastAsia="宋体" w:cs="Times New Roman"/>
      <w:kern w:val="2"/>
      <w:sz w:val="21"/>
      <w:lang w:val="en-US" w:eastAsia="zh-CN" w:bidi="ar-SA"/>
    </w:rPr>
  </w:style>
  <w:style w:type="paragraph" w:customStyle="1" w:styleId="182">
    <w:name w:val="Char1"/>
    <w:basedOn w:val="1"/>
    <w:qFormat/>
    <w:uiPriority w:val="0"/>
    <w:pPr>
      <w:jc w:val="left"/>
    </w:pPr>
    <w:rPr>
      <w:rFonts w:ascii="Tahoma" w:hAnsi="Tahoma"/>
      <w:sz w:val="24"/>
      <w:szCs w:val="20"/>
    </w:rPr>
  </w:style>
  <w:style w:type="paragraph" w:customStyle="1" w:styleId="18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84">
    <w:name w:val="汉仪细等线简9BOLD"/>
    <w:basedOn w:val="1"/>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85">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86">
    <w:name w:val="text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87">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character" w:customStyle="1" w:styleId="188">
    <w:name w:val="z-窗体顶端 Char1"/>
    <w:basedOn w:val="44"/>
    <w:link w:val="78"/>
    <w:semiHidden/>
    <w:qFormat/>
    <w:uiPriority w:val="99"/>
    <w:rPr>
      <w:rFonts w:ascii="Arial" w:hAnsi="Arial" w:eastAsia="宋体" w:cs="Arial"/>
      <w:vanish/>
      <w:sz w:val="16"/>
      <w:szCs w:val="16"/>
    </w:rPr>
  </w:style>
  <w:style w:type="paragraph" w:customStyle="1" w:styleId="189">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9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9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样式4"/>
    <w:basedOn w:val="1"/>
    <w:qFormat/>
    <w:uiPriority w:val="0"/>
    <w:pPr>
      <w:tabs>
        <w:tab w:val="left" w:pos="842"/>
      </w:tabs>
      <w:spacing w:line="360" w:lineRule="auto"/>
      <w:ind w:left="842" w:hanging="420"/>
    </w:pPr>
    <w:rPr>
      <w:rFonts w:ascii="Times New Roman" w:hAnsi="Times New Roman"/>
      <w:sz w:val="24"/>
      <w:szCs w:val="24"/>
    </w:rPr>
  </w:style>
  <w:style w:type="paragraph" w:customStyle="1" w:styleId="193">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95">
    <w:name w:val="--规划-题注"/>
    <w:basedOn w:val="1"/>
    <w:next w:val="137"/>
    <w:qFormat/>
    <w:uiPriority w:val="0"/>
    <w:pPr>
      <w:spacing w:line="360" w:lineRule="auto"/>
      <w:jc w:val="center"/>
    </w:pPr>
    <w:rPr>
      <w:rFonts w:ascii="Times New Roman" w:hAnsi="Times New Roman" w:eastAsia="黑体"/>
      <w:szCs w:val="24"/>
    </w:rPr>
  </w:style>
  <w:style w:type="paragraph" w:customStyle="1" w:styleId="196">
    <w:name w:val="font6"/>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97">
    <w:name w:val="--规划正文 Char"/>
    <w:basedOn w:val="1"/>
    <w:qFormat/>
    <w:uiPriority w:val="0"/>
    <w:pPr>
      <w:spacing w:line="360" w:lineRule="auto"/>
      <w:ind w:firstLine="200" w:firstLineChars="200"/>
    </w:pPr>
    <w:rPr>
      <w:rFonts w:ascii="Times New Roman" w:hAnsi="Times New Roman"/>
      <w:sz w:val="24"/>
      <w:szCs w:val="24"/>
    </w:rPr>
  </w:style>
  <w:style w:type="paragraph" w:customStyle="1" w:styleId="198">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99">
    <w:name w:val="样式3"/>
    <w:basedOn w:val="3"/>
    <w:qFormat/>
    <w:uiPriority w:val="0"/>
    <w:pPr>
      <w:tabs>
        <w:tab w:val="left" w:pos="420"/>
      </w:tabs>
      <w:spacing w:before="240" w:after="240" w:line="480" w:lineRule="auto"/>
      <w:ind w:left="420" w:right="210" w:rightChars="100" w:hanging="420"/>
      <w:jc w:val="left"/>
    </w:pPr>
    <w:rPr>
      <w:rFonts w:ascii="Times New Roman" w:hAnsi="Times New Roman"/>
      <w:sz w:val="32"/>
    </w:rPr>
  </w:style>
  <w:style w:type="paragraph" w:customStyle="1" w:styleId="2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01">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02">
    <w:name w:val="7"/>
    <w:basedOn w:val="1"/>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203">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04">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05">
    <w:name w:val="8"/>
    <w:basedOn w:val="1"/>
    <w:next w:val="19"/>
    <w:qFormat/>
    <w:uiPriority w:val="0"/>
    <w:pPr>
      <w:spacing w:after="120"/>
      <w:ind w:left="420" w:leftChars="200"/>
    </w:pPr>
    <w:rPr>
      <w:rFonts w:ascii="Times New Roman" w:hAnsi="Times New Roman"/>
      <w:szCs w:val="24"/>
    </w:rPr>
  </w:style>
  <w:style w:type="paragraph" w:customStyle="1" w:styleId="206">
    <w:name w:val="姜文清定义的正文"/>
    <w:basedOn w:val="1"/>
    <w:qFormat/>
    <w:uiPriority w:val="0"/>
    <w:pPr>
      <w:spacing w:line="240" w:lineRule="atLeast"/>
      <w:ind w:firstLine="567"/>
    </w:pPr>
    <w:rPr>
      <w:rFonts w:ascii="Times New Roman" w:hAnsi="Times New Roman"/>
      <w:szCs w:val="20"/>
    </w:rPr>
  </w:style>
  <w:style w:type="paragraph" w:customStyle="1" w:styleId="207">
    <w:name w:val="CM2"/>
    <w:basedOn w:val="187"/>
    <w:next w:val="187"/>
    <w:qFormat/>
    <w:uiPriority w:val="0"/>
    <w:pPr>
      <w:spacing w:line="200" w:lineRule="atLeast"/>
    </w:pPr>
    <w:rPr>
      <w:rFonts w:ascii="Arial" w:hAnsi="Arial" w:eastAsia="宋体" w:cs="Times New Roman"/>
      <w:color w:val="auto"/>
    </w:rPr>
  </w:style>
  <w:style w:type="character" w:customStyle="1" w:styleId="208">
    <w:name w:val="z-窗体底端 Char1"/>
    <w:basedOn w:val="44"/>
    <w:link w:val="95"/>
    <w:semiHidden/>
    <w:qFormat/>
    <w:uiPriority w:val="99"/>
    <w:rPr>
      <w:rFonts w:ascii="Arial" w:hAnsi="Arial" w:eastAsia="宋体" w:cs="Arial"/>
      <w:vanish/>
      <w:sz w:val="16"/>
      <w:szCs w:val="16"/>
    </w:rPr>
  </w:style>
  <w:style w:type="paragraph" w:customStyle="1" w:styleId="20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10">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2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2">
    <w:name w:val="表格字"/>
    <w:basedOn w:val="1"/>
    <w:qFormat/>
    <w:uiPriority w:val="0"/>
    <w:pPr>
      <w:adjustRightInd w:val="0"/>
      <w:jc w:val="center"/>
    </w:pPr>
    <w:rPr>
      <w:rFonts w:ascii="宋体" w:hAnsi="Times New Roman"/>
      <w:sz w:val="24"/>
      <w:szCs w:val="20"/>
    </w:rPr>
  </w:style>
  <w:style w:type="paragraph" w:customStyle="1" w:styleId="21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14">
    <w:name w:val="评价"/>
    <w:basedOn w:val="1"/>
    <w:qFormat/>
    <w:uiPriority w:val="0"/>
    <w:pPr>
      <w:spacing w:afterLines="20"/>
      <w:ind w:firstLine="1446" w:firstLineChars="200"/>
    </w:pPr>
    <w:rPr>
      <w:sz w:val="24"/>
      <w:szCs w:val="24"/>
    </w:rPr>
  </w:style>
  <w:style w:type="paragraph" w:customStyle="1" w:styleId="215">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16">
    <w:name w:val="正文(缩进) 五号"/>
    <w:basedOn w:val="1"/>
    <w:qFormat/>
    <w:uiPriority w:val="0"/>
    <w:pPr>
      <w:widowControl/>
      <w:spacing w:after="120" w:line="360" w:lineRule="auto"/>
      <w:ind w:firstLine="420" w:firstLineChars="200"/>
      <w:jc w:val="left"/>
    </w:pPr>
    <w:rPr>
      <w:rFonts w:ascii="Arial" w:hAnsi="Arial" w:cs="宋体"/>
      <w:kern w:val="0"/>
      <w:szCs w:val="20"/>
    </w:rPr>
  </w:style>
  <w:style w:type="paragraph" w:customStyle="1" w:styleId="217">
    <w:name w:val="封面标题"/>
    <w:basedOn w:val="1"/>
    <w:qFormat/>
    <w:uiPriority w:val="0"/>
    <w:pPr>
      <w:spacing w:line="360" w:lineRule="auto"/>
      <w:jc w:val="center"/>
    </w:pPr>
    <w:rPr>
      <w:rFonts w:ascii="Times New Roman" w:hAnsi="Times New Roman" w:eastAsia="黑体"/>
      <w:sz w:val="48"/>
      <w:szCs w:val="20"/>
    </w:rPr>
  </w:style>
  <w:style w:type="paragraph" w:customStyle="1" w:styleId="218">
    <w:name w:val="列出段落2"/>
    <w:basedOn w:val="1"/>
    <w:qFormat/>
    <w:uiPriority w:val="0"/>
    <w:pPr>
      <w:ind w:firstLine="420" w:firstLineChars="200"/>
    </w:pPr>
    <w:rPr>
      <w:szCs w:val="20"/>
    </w:rPr>
  </w:style>
  <w:style w:type="paragraph" w:styleId="21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20">
    <w:name w:val="font31"/>
    <w:basedOn w:val="44"/>
    <w:qFormat/>
    <w:uiPriority w:val="0"/>
    <w:rPr>
      <w:rFonts w:hint="default" w:ascii="Times New Roman" w:hAnsi="Times New Roman" w:cs="Times New Roman"/>
      <w:color w:val="000000"/>
      <w:sz w:val="21"/>
      <w:szCs w:val="21"/>
      <w:u w:val="none"/>
    </w:rPr>
  </w:style>
  <w:style w:type="character" w:customStyle="1" w:styleId="221">
    <w:name w:val="正文缩进 Char1"/>
    <w:qFormat/>
    <w:uiPriority w:val="0"/>
    <w:rPr>
      <w:rFonts w:eastAsia="宋体"/>
      <w:kern w:val="2"/>
      <w:sz w:val="21"/>
      <w:lang w:val="en-US" w:eastAsia="zh-CN" w:bidi="ar-SA"/>
    </w:rPr>
  </w:style>
  <w:style w:type="character" w:customStyle="1" w:styleId="222">
    <w:name w:val="列表段落 字符"/>
    <w:link w:val="148"/>
    <w:qFormat/>
    <w:uiPriority w:val="0"/>
    <w:rPr>
      <w:rFonts w:ascii="Calibri" w:hAnsi="Calibri" w:eastAsia="宋体" w:cs="Calibri"/>
      <w:szCs w:val="21"/>
    </w:rPr>
  </w:style>
  <w:style w:type="paragraph" w:customStyle="1" w:styleId="223">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224">
    <w:name w:val=".正文"/>
    <w:basedOn w:val="1"/>
    <w:qFormat/>
    <w:uiPriority w:val="0"/>
    <w:pPr>
      <w:spacing w:beforeLines="50"/>
      <w:ind w:firstLine="200" w:firstLineChars="200"/>
    </w:pPr>
    <w:rPr>
      <w:rFonts w:eastAsia="华文仿宋"/>
    </w:rPr>
  </w:style>
  <w:style w:type="paragraph" w:customStyle="1" w:styleId="225">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26">
    <w:name w:val="hover"/>
    <w:basedOn w:val="44"/>
    <w:qFormat/>
    <w:uiPriority w:val="0"/>
  </w:style>
  <w:style w:type="character" w:customStyle="1" w:styleId="227">
    <w:name w:val="hover1"/>
    <w:basedOn w:val="44"/>
    <w:qFormat/>
    <w:uiPriority w:val="0"/>
    <w:rPr>
      <w:color w:val="2590EB"/>
      <w:shd w:val="clear" w:fill="E9F4FD"/>
    </w:rPr>
  </w:style>
  <w:style w:type="character" w:customStyle="1" w:styleId="228">
    <w:name w:val="hover2"/>
    <w:basedOn w:val="44"/>
    <w:qFormat/>
    <w:uiPriority w:val="0"/>
    <w:rPr>
      <w:color w:val="2590EB"/>
    </w:rPr>
  </w:style>
  <w:style w:type="character" w:customStyle="1" w:styleId="229">
    <w:name w:val="hover3"/>
    <w:basedOn w:val="44"/>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88</Pages>
  <Words>2335</Words>
  <Characters>2396</Characters>
  <Lines>448</Lines>
  <Paragraphs>126</Paragraphs>
  <TotalTime>17</TotalTime>
  <ScaleCrop>false</ScaleCrop>
  <LinksUpToDate>false</LinksUpToDate>
  <CharactersWithSpaces>2423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2020-09-24T06:11:00Z</dcterms:created>
  <dc:creator>Administrator</dc:creator>
  <cp:lastModifiedBy>中正招标--李工</cp:lastModifiedBy>
  <cp:lastPrinted>2019-10-21T08:50:00Z</cp:lastPrinted>
  <dcterms:modified xsi:type="dcterms:W3CDTF">2025-01-20T08:46:54Z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9BF0787322D74AA6B720B0E510CF0198</vt:lpwstr>
  </property>
  <property fmtid="{D5CDD505-2E9C-101B-9397-08002B2CF9AE}" pid="4" name="KSOTemplateDocerSaveRecord">
    <vt:lpwstr>eyJoZGlkIjoiMzNiN2JjZGQwODQzNTVmMDg4ZGNmNzRhYmJlZDY2YTUiLCJ1c2VySWQiOiI0NjMwNjU1NzcifQ==</vt:lpwstr>
  </property>
</Properties>
</file>